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CB80CD" w14:textId="77777777" w:rsidR="00B8674C" w:rsidRPr="00323A46" w:rsidRDefault="004F3564">
      <w:pPr>
        <w:pStyle w:val="Ttulo1"/>
        <w:spacing w:line="276" w:lineRule="auto"/>
        <w:jc w:val="center"/>
        <w:rPr>
          <w:rFonts w:ascii="Vale Sans" w:eastAsia="Times New Roman" w:hAnsi="Vale Sans" w:cs="Times New Roman"/>
          <w:i/>
          <w:iCs/>
          <w:color w:val="7030A0"/>
          <w:sz w:val="30"/>
          <w:szCs w:val="30"/>
        </w:rPr>
      </w:pPr>
      <w:r w:rsidRPr="00323A46">
        <w:rPr>
          <w:rFonts w:ascii="Vale Sans" w:eastAsia="Times New Roman" w:hAnsi="Vale Sans" w:cs="Times New Roman"/>
          <w:i/>
          <w:iCs/>
          <w:color w:val="7030A0"/>
          <w:sz w:val="30"/>
          <w:szCs w:val="30"/>
        </w:rPr>
        <w:t>Sessões Simultâneas de Jogos Matemáticos</w:t>
      </w:r>
    </w:p>
    <w:p w14:paraId="1E191CCE" w14:textId="77777777" w:rsidR="00B8674C" w:rsidRPr="00323A46" w:rsidRDefault="004F3564">
      <w:pPr>
        <w:pStyle w:val="Ttulo2"/>
        <w:spacing w:line="276" w:lineRule="auto"/>
        <w:rPr>
          <w:rFonts w:ascii="Vale Sans" w:eastAsia="Times New Roman" w:hAnsi="Vale Sans" w:cs="Times New Roman"/>
          <w:color w:val="7030A0"/>
          <w:sz w:val="26"/>
          <w:szCs w:val="26"/>
        </w:rPr>
      </w:pPr>
      <w:r w:rsidRPr="00323A46">
        <w:rPr>
          <w:rFonts w:ascii="Vale Sans" w:eastAsia="Times New Roman" w:hAnsi="Vale Sans" w:cs="Times New Roman"/>
          <w:color w:val="7030A0"/>
          <w:sz w:val="26"/>
          <w:szCs w:val="26"/>
        </w:rPr>
        <w:t xml:space="preserve">O que é uma </w:t>
      </w:r>
      <w:r w:rsidRPr="00323A46">
        <w:rPr>
          <w:rFonts w:ascii="Vale Sans" w:eastAsia="Times New Roman" w:hAnsi="Vale Sans" w:cs="Times New Roman"/>
          <w:i/>
          <w:iCs/>
          <w:color w:val="7030A0"/>
          <w:sz w:val="26"/>
          <w:szCs w:val="26"/>
        </w:rPr>
        <w:t>Sessão Simultânea de Jogos Matemáticos</w:t>
      </w:r>
      <w:r w:rsidRPr="00323A46">
        <w:rPr>
          <w:rFonts w:ascii="Vale Sans" w:eastAsia="Times New Roman" w:hAnsi="Vale Sans" w:cs="Times New Roman"/>
          <w:color w:val="7030A0"/>
          <w:sz w:val="26"/>
          <w:szCs w:val="26"/>
        </w:rPr>
        <w:t>?</w:t>
      </w:r>
    </w:p>
    <w:p w14:paraId="4472C6A1"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É uma atividade em que a escola é organizada para receber as e os estudantes para jogar!</w:t>
      </w:r>
      <w:bookmarkStart w:id="0" w:name="_GoBack"/>
      <w:bookmarkEnd w:id="0"/>
    </w:p>
    <w:p w14:paraId="023AE662"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As </w:t>
      </w:r>
      <w:r w:rsidRPr="00323A46">
        <w:rPr>
          <w:rFonts w:ascii="Vale Sans" w:eastAsia="Times New Roman" w:hAnsi="Vale Sans" w:cs="Times New Roman"/>
          <w:i/>
          <w:iCs/>
          <w:sz w:val="22"/>
          <w:szCs w:val="22"/>
        </w:rPr>
        <w:t>Sessões Simultâneas de Jogos Matemáticos</w:t>
      </w:r>
      <w:r w:rsidRPr="00323A46">
        <w:rPr>
          <w:rFonts w:ascii="Vale Sans" w:eastAsia="Times New Roman" w:hAnsi="Vale Sans" w:cs="Times New Roman"/>
          <w:sz w:val="22"/>
          <w:szCs w:val="22"/>
        </w:rPr>
        <w:t xml:space="preserve"> configuram-se como momentos periódicos da rotina escolar em que as turmas são reorganizadas em novos agrupamentos para "fazer matemática" por meio do jogo. Esses agrupamentos são constituídos a partir das escolhas das próprias e dos próprios estudantes, considerando as experiências que desejam ter com os jogos em cada sessão.</w:t>
      </w:r>
    </w:p>
    <w:p w14:paraId="28A4F38D"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Em uma sala de aula (ou outro espaço escolar) acontece uma sessão com um determinado jogo em que estudantes se encontram para jogar. Simultaneamente, em outro espaço (ou sala de aula), com um jogo diferente, acontece outra sessão. A quantidade de salas e jogos é definida de acordo com a demanda de estudantes e definições didático-pedagógicas feitas pela equipe escolar.</w:t>
      </w:r>
    </w:p>
    <w:p w14:paraId="5B2039AC"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Também podem acontecer sessões com a participação de adultos, sejam familiares ou responsáveis, além de outras pessoas da comunidade escolar. </w:t>
      </w:r>
    </w:p>
    <w:p w14:paraId="7E5156F8" w14:textId="463BE57D"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A implementação das </w:t>
      </w:r>
      <w:r w:rsidRPr="00323A46">
        <w:rPr>
          <w:rFonts w:ascii="Vale Sans" w:eastAsia="Times New Roman" w:hAnsi="Vale Sans" w:cs="Times New Roman"/>
          <w:i/>
          <w:iCs/>
          <w:sz w:val="22"/>
          <w:szCs w:val="22"/>
        </w:rPr>
        <w:t>Sessões Simultâneas de Jogos Matemáticos</w:t>
      </w:r>
      <w:r w:rsidR="00486516" w:rsidRPr="00323A46">
        <w:rPr>
          <w:rFonts w:ascii="Vale Sans" w:eastAsia="Times New Roman" w:hAnsi="Vale Sans" w:cs="Times New Roman"/>
          <w:i/>
          <w:iCs/>
          <w:sz w:val="22"/>
          <w:szCs w:val="22"/>
        </w:rPr>
        <w:t xml:space="preserve"> </w:t>
      </w:r>
      <w:r w:rsidRPr="00323A46">
        <w:rPr>
          <w:rFonts w:ascii="Vale Sans" w:eastAsia="Times New Roman" w:hAnsi="Vale Sans" w:cs="Times New Roman"/>
          <w:sz w:val="22"/>
          <w:szCs w:val="22"/>
        </w:rPr>
        <w:t>como uma ação institucional</w:t>
      </w:r>
      <w:r w:rsidR="00486516" w:rsidRPr="00323A46">
        <w:rPr>
          <w:rFonts w:ascii="Vale Sans" w:eastAsia="Times New Roman" w:hAnsi="Vale Sans" w:cs="Times New Roman"/>
          <w:sz w:val="22"/>
          <w:szCs w:val="22"/>
        </w:rPr>
        <w:t xml:space="preserve"> </w:t>
      </w:r>
      <w:r w:rsidR="00B64BBB" w:rsidRPr="00323A46">
        <w:rPr>
          <w:rFonts w:ascii="Vale Sans" w:eastAsia="Times New Roman" w:hAnsi="Vale Sans" w:cs="Times New Roman"/>
          <w:bCs/>
          <w:color w:val="000000" w:themeColor="text1"/>
          <w:sz w:val="22"/>
          <w:szCs w:val="22"/>
        </w:rPr>
        <w:t>requer alguns processos de gestão</w:t>
      </w:r>
      <w:r w:rsidR="00472B4A" w:rsidRPr="00323A46">
        <w:rPr>
          <w:rFonts w:ascii="Vale Sans" w:eastAsia="Times New Roman" w:hAnsi="Vale Sans" w:cs="Times New Roman"/>
          <w:bCs/>
          <w:color w:val="000000" w:themeColor="text1"/>
          <w:sz w:val="22"/>
          <w:szCs w:val="22"/>
        </w:rPr>
        <w:t xml:space="preserve"> </w:t>
      </w:r>
      <w:r w:rsidR="00B64BBB" w:rsidRPr="00323A46">
        <w:rPr>
          <w:rFonts w:ascii="Vale Sans" w:eastAsia="Times New Roman" w:hAnsi="Vale Sans" w:cs="Times New Roman"/>
          <w:sz w:val="22"/>
          <w:szCs w:val="22"/>
        </w:rPr>
        <w:t xml:space="preserve">para que </w:t>
      </w:r>
      <w:r w:rsidR="00DD5EBD" w:rsidRPr="00323A46">
        <w:rPr>
          <w:rFonts w:ascii="Vale Sans" w:eastAsia="Times New Roman" w:hAnsi="Vale Sans" w:cs="Times New Roman"/>
          <w:sz w:val="22"/>
          <w:szCs w:val="22"/>
        </w:rPr>
        <w:t>alcance resultados positivos</w:t>
      </w:r>
      <w:r w:rsidR="00B64BBB" w:rsidRPr="00323A46">
        <w:rPr>
          <w:rFonts w:ascii="Vale Sans" w:eastAsia="Times New Roman" w:hAnsi="Vale Sans" w:cs="Times New Roman"/>
          <w:sz w:val="22"/>
          <w:szCs w:val="22"/>
        </w:rPr>
        <w:t xml:space="preserve">. Esses processos contemplam </w:t>
      </w:r>
      <w:r w:rsidRPr="00323A46">
        <w:rPr>
          <w:rFonts w:ascii="Vale Sans" w:eastAsia="Times New Roman" w:hAnsi="Vale Sans" w:cs="Times New Roman"/>
          <w:sz w:val="22"/>
          <w:szCs w:val="22"/>
        </w:rPr>
        <w:t>aspectos organizacionais e o desenvolvimento de ações articuladas. Entre elas, destacam-se: a definição da equipe pedagógica envolvida; a previsão de recursos e materiais; o planejamento dos tempos e a organização dos espaços; as estratégias de envolvimento da comunidade escolar; a divulgação das sessões; o monitoramento e a avaliação das ações; além do registro do processo.</w:t>
      </w:r>
    </w:p>
    <w:p w14:paraId="11825FFB" w14:textId="77777777" w:rsidR="00B8674C" w:rsidRPr="00323A46" w:rsidRDefault="004F3564" w:rsidP="003564D2">
      <w:pPr>
        <w:pStyle w:val="Ttulo2"/>
        <w:spacing w:line="276" w:lineRule="auto"/>
        <w:rPr>
          <w:rFonts w:ascii="Vale Sans" w:eastAsia="Times New Roman" w:hAnsi="Vale Sans" w:cs="Times New Roman"/>
          <w:color w:val="7030A0"/>
          <w:sz w:val="26"/>
          <w:szCs w:val="26"/>
        </w:rPr>
      </w:pPr>
      <w:r w:rsidRPr="00323A46">
        <w:rPr>
          <w:rFonts w:ascii="Vale Sans" w:eastAsia="Times New Roman" w:hAnsi="Vale Sans" w:cs="Times New Roman"/>
          <w:color w:val="7030A0"/>
          <w:sz w:val="26"/>
          <w:szCs w:val="26"/>
        </w:rPr>
        <w:t>Por que desenvolver esta ação institucional?</w:t>
      </w:r>
    </w:p>
    <w:p w14:paraId="51A8EBA3"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Para que a estudante ou o estudante possa:</w:t>
      </w:r>
    </w:p>
    <w:p w14:paraId="5864A2AE"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eleger um dos jogos matemáticos para conhecer ou jogar novamente;</w:t>
      </w:r>
    </w:p>
    <w:p w14:paraId="27C1DE94"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 xml:space="preserve">apropriar-se de (ou aprimorar) procedimentos matemáticos relacionados ao jogo; </w:t>
      </w:r>
    </w:p>
    <w:p w14:paraId="5384A6C9"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estar sob a orientação de uma professora ou professor que não seja o seu;</w:t>
      </w:r>
    </w:p>
    <w:p w14:paraId="22FF50C0"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discutir e </w:t>
      </w:r>
      <w:r w:rsidRPr="00323A46">
        <w:rPr>
          <w:rFonts w:ascii="Vale Sans" w:eastAsia="Times New Roman" w:hAnsi="Vale Sans" w:cs="Times New Roman"/>
          <w:color w:val="000000"/>
          <w:sz w:val="22"/>
          <w:szCs w:val="22"/>
        </w:rPr>
        <w:t>compartilhar estratégias de resolução e procedimentos mate</w:t>
      </w:r>
      <w:r w:rsidRPr="00323A46">
        <w:rPr>
          <w:rFonts w:ascii="Vale Sans" w:eastAsia="Times New Roman" w:hAnsi="Vale Sans" w:cs="Times New Roman"/>
          <w:sz w:val="22"/>
          <w:szCs w:val="22"/>
        </w:rPr>
        <w:t>máticos</w:t>
      </w:r>
      <w:r w:rsidRPr="00323A46">
        <w:rPr>
          <w:rFonts w:ascii="Vale Sans" w:eastAsia="Times New Roman" w:hAnsi="Vale Sans" w:cs="Times New Roman"/>
          <w:color w:val="000000"/>
          <w:sz w:val="22"/>
          <w:szCs w:val="22"/>
        </w:rPr>
        <w:t xml:space="preserve"> com colegas de diferentes turmas</w:t>
      </w:r>
      <w:r w:rsidRPr="00323A46">
        <w:rPr>
          <w:rFonts w:ascii="Vale Sans" w:eastAsia="Times New Roman" w:hAnsi="Vale Sans" w:cs="Times New Roman"/>
          <w:sz w:val="22"/>
          <w:szCs w:val="22"/>
        </w:rPr>
        <w:t>.</w:t>
      </w:r>
    </w:p>
    <w:p w14:paraId="5F32D8A9" w14:textId="77777777" w:rsidR="00B8674C" w:rsidRPr="00323A46" w:rsidRDefault="004F3564">
      <w:pPr>
        <w:rPr>
          <w:rFonts w:ascii="Vale Sans" w:eastAsia="Times New Roman" w:hAnsi="Vale Sans" w:cs="Times New Roman"/>
          <w:i/>
          <w:iCs/>
          <w:sz w:val="22"/>
          <w:szCs w:val="22"/>
        </w:rPr>
      </w:pPr>
      <w:r w:rsidRPr="00323A46">
        <w:rPr>
          <w:rFonts w:ascii="Vale Sans" w:eastAsia="Times New Roman" w:hAnsi="Vale Sans" w:cs="Times New Roman"/>
          <w:sz w:val="22"/>
          <w:szCs w:val="22"/>
        </w:rPr>
        <w:t xml:space="preserve">Os objetivos que norteiam o desenvolvimento das </w:t>
      </w:r>
      <w:r w:rsidRPr="00323A46">
        <w:rPr>
          <w:rFonts w:ascii="Vale Sans" w:eastAsia="Times New Roman" w:hAnsi="Vale Sans" w:cs="Times New Roman"/>
          <w:i/>
          <w:iCs/>
          <w:sz w:val="22"/>
          <w:szCs w:val="22"/>
        </w:rPr>
        <w:t xml:space="preserve">Sessões Simultâneas de Jogos Matemáticos </w:t>
      </w:r>
      <w:r w:rsidRPr="00323A46">
        <w:rPr>
          <w:rFonts w:ascii="Vale Sans" w:eastAsia="Times New Roman" w:hAnsi="Vale Sans" w:cs="Times New Roman"/>
          <w:sz w:val="22"/>
          <w:szCs w:val="22"/>
        </w:rPr>
        <w:t xml:space="preserve">são: </w:t>
      </w:r>
    </w:p>
    <w:p w14:paraId="3CAEB904" w14:textId="77777777" w:rsidR="00B8674C" w:rsidRPr="00323A46" w:rsidRDefault="00B8674C">
      <w:pPr>
        <w:rPr>
          <w:rFonts w:ascii="Vale Sans" w:eastAsia="Times New Roman" w:hAnsi="Vale Sans" w:cs="Times New Roman"/>
          <w:sz w:val="22"/>
          <w:szCs w:val="22"/>
        </w:rPr>
      </w:pPr>
    </w:p>
    <w:p w14:paraId="15FC9E54"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Contribuir para o desenvolvimento de conhecimentos matemáticos das e dos estudantes com base na resolução de problemas</w:t>
      </w:r>
      <w:r w:rsidRPr="00323A46">
        <w:rPr>
          <w:rFonts w:ascii="Vale Sans" w:eastAsia="Times New Roman" w:hAnsi="Vale Sans" w:cs="Times New Roman"/>
          <w:sz w:val="22"/>
          <w:szCs w:val="22"/>
        </w:rPr>
        <w:t xml:space="preserve"> e</w:t>
      </w:r>
      <w:r w:rsidRPr="00323A46">
        <w:rPr>
          <w:rFonts w:ascii="Vale Sans" w:eastAsia="Times New Roman" w:hAnsi="Vale Sans" w:cs="Times New Roman"/>
          <w:color w:val="000000"/>
          <w:sz w:val="22"/>
          <w:szCs w:val="22"/>
        </w:rPr>
        <w:t xml:space="preserve"> nas interações, promovendo a ampliação de diferentes habilidades e do repertório de procedimentos de resolução.</w:t>
      </w:r>
    </w:p>
    <w:p w14:paraId="1752C81F"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Favorecer a aprendizagem dos seguintes conteúdos:</w:t>
      </w:r>
    </w:p>
    <w:p w14:paraId="5DD40B4D" w14:textId="77777777" w:rsidR="00B8674C" w:rsidRPr="00323A46" w:rsidRDefault="004F3564">
      <w:pPr>
        <w:numPr>
          <w:ilvl w:val="1"/>
          <w:numId w:val="2"/>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pensamento estratégico e resolução de problemas;</w:t>
      </w:r>
    </w:p>
    <w:p w14:paraId="2AC27219" w14:textId="77777777" w:rsidR="00B8674C" w:rsidRPr="00323A46" w:rsidRDefault="004F3564">
      <w:pPr>
        <w:numPr>
          <w:ilvl w:val="1"/>
          <w:numId w:val="2"/>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capacidade de formular hipóteses e testá-las</w:t>
      </w:r>
      <w:r w:rsidRPr="00323A46">
        <w:rPr>
          <w:rFonts w:ascii="Vale Sans" w:eastAsia="Times New Roman" w:hAnsi="Vale Sans" w:cs="Times New Roman"/>
          <w:sz w:val="22"/>
          <w:szCs w:val="22"/>
        </w:rPr>
        <w:t>;</w:t>
      </w:r>
    </w:p>
    <w:p w14:paraId="009FFCDB" w14:textId="77777777" w:rsidR="00B8674C" w:rsidRPr="00323A46" w:rsidRDefault="004F3564">
      <w:pPr>
        <w:numPr>
          <w:ilvl w:val="1"/>
          <w:numId w:val="2"/>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conhecimento sobre diferentes estratégias de cálculo (envolvendo diferentes campos numéricos) e procedimentos matemáticos de resolução de problemas.</w:t>
      </w:r>
    </w:p>
    <w:p w14:paraId="14B413E2"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lastRenderedPageBreak/>
        <w:t>Possibilitar que as e os estudantes se coloquem no lugar do outro ao compartilhar e compreender diferentes formas de pensar matematicamente, ampliando a capacidade de argumentação e comunicação matemática.</w:t>
      </w:r>
    </w:p>
    <w:p w14:paraId="5B6B9307"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Promover a participação democrática.</w:t>
      </w:r>
    </w:p>
    <w:p w14:paraId="48F45549" w14:textId="77777777" w:rsidR="00B8674C" w:rsidRPr="00323A46" w:rsidRDefault="00B8674C">
      <w:pPr>
        <w:spacing w:line="276" w:lineRule="auto"/>
        <w:rPr>
          <w:rFonts w:ascii="Vale Sans" w:eastAsia="Times New Roman" w:hAnsi="Vale Sans" w:cs="Times New Roman"/>
          <w:sz w:val="22"/>
          <w:szCs w:val="22"/>
        </w:rPr>
      </w:pPr>
    </w:p>
    <w:p w14:paraId="6078BCAA"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Todos esses saberes são construídos e aprofundados quando o jogo é compartilhado com outros estudantes, como pode acontecer nessas sessões. </w:t>
      </w:r>
    </w:p>
    <w:p w14:paraId="12EABC39"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As interações nas aulas de Matemática, especialmente aquelas promovidas pelos jogos, são centrais para a construção de conhecimentos matemáticos, pois criam um contexto em que as e os estudantes precisam explicar, justificar, confrontar e revisar suas próprias ideias. É na troca entre pares que o pensamento matemático se torna objeto de reflexão, ganhando visibilidade e sentido. Assim, ao instaurarem situações-problema compartilhadas e regras comuns que exigem a formulação de estratégias, a argumentação, a validação e a tomada de decisões, os jogos caracterizam o "fazer matemática" como uma prática intelectual, social e coletiva de produção de conhecimentos e sentidos.</w:t>
      </w:r>
    </w:p>
    <w:p w14:paraId="524390DA" w14:textId="77777777" w:rsidR="00B8674C" w:rsidRPr="00323A46" w:rsidRDefault="004F3564">
      <w:pPr>
        <w:pStyle w:val="Ttulo2"/>
        <w:spacing w:line="276" w:lineRule="auto"/>
        <w:rPr>
          <w:rFonts w:ascii="Vale Sans" w:eastAsia="Times New Roman" w:hAnsi="Vale Sans" w:cs="Times New Roman"/>
          <w:color w:val="7030A0"/>
          <w:sz w:val="26"/>
          <w:szCs w:val="26"/>
        </w:rPr>
      </w:pPr>
      <w:r w:rsidRPr="00323A46">
        <w:rPr>
          <w:rFonts w:ascii="Vale Sans" w:eastAsia="Times New Roman" w:hAnsi="Vale Sans" w:cs="Times New Roman"/>
          <w:color w:val="7030A0"/>
          <w:sz w:val="26"/>
          <w:szCs w:val="26"/>
        </w:rPr>
        <w:t>Quem participa?</w:t>
      </w:r>
    </w:p>
    <w:p w14:paraId="0518D33D" w14:textId="77777777" w:rsidR="00B8674C" w:rsidRPr="00323A46" w:rsidRDefault="004F3564">
      <w:pPr>
        <w:spacing w:after="8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Estudantes</w:t>
      </w:r>
    </w:p>
    <w:p w14:paraId="246C8F0C"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As </w:t>
      </w:r>
      <w:r w:rsidRPr="00323A46">
        <w:rPr>
          <w:rFonts w:ascii="Vale Sans" w:eastAsia="Times New Roman" w:hAnsi="Vale Sans" w:cs="Times New Roman"/>
          <w:i/>
          <w:iCs/>
          <w:sz w:val="22"/>
          <w:szCs w:val="22"/>
        </w:rPr>
        <w:t>Sessões Simultâneas de Jogos Matemáticos</w:t>
      </w:r>
      <w:r w:rsidRPr="00323A46">
        <w:rPr>
          <w:rFonts w:ascii="Vale Sans" w:eastAsia="Times New Roman" w:hAnsi="Vale Sans" w:cs="Times New Roman"/>
          <w:sz w:val="22"/>
          <w:szCs w:val="22"/>
        </w:rPr>
        <w:t xml:space="preserve"> são pensadas, em primeiro lugar, para as e os estudantes da escola. A ação é especialmente potente quando reúne estudantes de turmas e anos escolares diferentes, pois esse encontro cria oportunidades únicas de interação, troca de estratégias e aprendizagem mútua. A diversidade de experiências entre estudantes também envolve diferentes repertórios culturais, que podem ser mobilizados nas interações, contribuindo para a valorização das identidades socioculturais.</w:t>
      </w:r>
    </w:p>
    <w:p w14:paraId="73B88890" w14:textId="77777777" w:rsidR="00B8674C" w:rsidRPr="00323A46" w:rsidRDefault="004F3564">
      <w:pPr>
        <w:spacing w:after="8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Familiares e responsáveis</w:t>
      </w:r>
    </w:p>
    <w:p w14:paraId="095BE7EA"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A participação de famílias e responsáveis nas sessões pode ser muito significativa – tanto para estudantes, que se sentem valorizados ao compartilhar seus saberes matemáticos com adultos próximos, quanto para as famílias, que passam a compreender melhor a proposta pedagógica da escola e o papel dos jogos no desenvolvimento das e dos estudantes. Essa participação também favorece a valorização de diferentes repertórios culturais presentes na comunidade, fortalecendo o reconhecimento de saberes diversos e contribuindo para um clima escolar respeitoso.</w:t>
      </w:r>
    </w:p>
    <w:p w14:paraId="25DCA931" w14:textId="77777777" w:rsidR="00B8674C" w:rsidRPr="00323A46" w:rsidRDefault="004F3564">
      <w:pPr>
        <w:spacing w:after="8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Outras pessoas da comunidade escolar</w:t>
      </w:r>
    </w:p>
    <w:p w14:paraId="5ABF37FD" w14:textId="4F36755C" w:rsidR="00140DA2"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Funcionários, estagiários e outros adultos da comunidade escolar também podem ser convidados a participar como mediadores ou jogadores, enriquecendo os vínculos entre estudantes e os diferentes adultos da escola.</w:t>
      </w:r>
    </w:p>
    <w:p w14:paraId="74D3CBEF" w14:textId="77777777" w:rsidR="00B8674C" w:rsidRPr="00323A46" w:rsidRDefault="004F3564">
      <w:pPr>
        <w:pStyle w:val="Ttulo2"/>
        <w:spacing w:line="276" w:lineRule="auto"/>
        <w:rPr>
          <w:rFonts w:ascii="Vale Sans" w:eastAsia="Times New Roman" w:hAnsi="Vale Sans" w:cs="Times New Roman"/>
          <w:color w:val="7030A0"/>
          <w:sz w:val="26"/>
          <w:szCs w:val="26"/>
        </w:rPr>
      </w:pPr>
      <w:r w:rsidRPr="00323A46">
        <w:rPr>
          <w:rFonts w:ascii="Vale Sans" w:eastAsia="Times New Roman" w:hAnsi="Vale Sans" w:cs="Times New Roman"/>
          <w:color w:val="7030A0"/>
          <w:sz w:val="26"/>
          <w:szCs w:val="26"/>
        </w:rPr>
        <w:t>Como planejar, implementar, acompanhar e avaliar?</w:t>
      </w:r>
    </w:p>
    <w:p w14:paraId="7C4386A8" w14:textId="77777777" w:rsidR="00B8674C" w:rsidRPr="00323A46" w:rsidRDefault="00140DA2">
      <w:pPr>
        <w:spacing w:after="200" w:line="276" w:lineRule="auto"/>
        <w:jc w:val="both"/>
        <w:rPr>
          <w:rFonts w:ascii="Vale Sans" w:eastAsia="Times New Roman" w:hAnsi="Vale Sans" w:cs="Times New Roman"/>
          <w:bCs/>
          <w:color w:val="000000" w:themeColor="text1"/>
          <w:sz w:val="22"/>
          <w:szCs w:val="22"/>
          <w:highlight w:val="white"/>
        </w:rPr>
      </w:pPr>
      <w:r w:rsidRPr="00323A46">
        <w:rPr>
          <w:rFonts w:ascii="Vale Sans" w:eastAsia="Times New Roman" w:hAnsi="Vale Sans" w:cs="Times New Roman"/>
          <w:sz w:val="22"/>
          <w:szCs w:val="22"/>
          <w:highlight w:val="white"/>
        </w:rPr>
        <w:t xml:space="preserve">A seguir, são detalhadas as principais dimensões que a equipe gestora deve considerar </w:t>
      </w:r>
      <w:r w:rsidRPr="00323A46">
        <w:rPr>
          <w:rFonts w:ascii="Vale Sans" w:eastAsia="Times New Roman" w:hAnsi="Vale Sans" w:cs="Times New Roman"/>
          <w:bCs/>
          <w:color w:val="000000" w:themeColor="text1"/>
          <w:sz w:val="22"/>
          <w:szCs w:val="22"/>
          <w:highlight w:val="white"/>
        </w:rPr>
        <w:t>para que as sessões aconteçam de forma articulada, envolvente e com qualidade</w:t>
      </w:r>
      <w:r w:rsidR="004552DB" w:rsidRPr="00323A46">
        <w:rPr>
          <w:rFonts w:ascii="Vale Sans" w:eastAsia="Times New Roman" w:hAnsi="Vale Sans" w:cs="Times New Roman"/>
          <w:bCs/>
          <w:color w:val="000000" w:themeColor="text1"/>
          <w:sz w:val="22"/>
          <w:szCs w:val="22"/>
          <w:highlight w:val="white"/>
        </w:rPr>
        <w:t>.</w:t>
      </w:r>
    </w:p>
    <w:p w14:paraId="4591DE61" w14:textId="77777777" w:rsidR="00B8674C" w:rsidRPr="00323A46" w:rsidRDefault="004F3564">
      <w:pPr>
        <w:spacing w:before="240" w:after="80" w:line="276" w:lineRule="auto"/>
        <w:rPr>
          <w:rFonts w:ascii="Vale Sans" w:eastAsia="Times New Roman" w:hAnsi="Vale Sans" w:cs="Times New Roman"/>
          <w:b/>
          <w:bCs/>
        </w:rPr>
      </w:pPr>
      <w:r w:rsidRPr="00323A46">
        <w:rPr>
          <w:rFonts w:ascii="Vale Sans" w:eastAsia="Times New Roman" w:hAnsi="Vale Sans" w:cs="Times New Roman"/>
          <w:b/>
          <w:bCs/>
        </w:rPr>
        <w:t>Mobilizar professoras, professores, estudantes e demais pessoas da comunidade escolar</w:t>
      </w:r>
    </w:p>
    <w:p w14:paraId="080D191E" w14:textId="77777777" w:rsidR="004552DB" w:rsidRPr="00323A46" w:rsidRDefault="004552DB" w:rsidP="004552DB">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Mobilizar estudantes, professoras e professores para participar das </w:t>
      </w:r>
      <w:r w:rsidRPr="00323A46">
        <w:rPr>
          <w:rFonts w:ascii="Vale Sans" w:eastAsia="Times New Roman" w:hAnsi="Vale Sans" w:cs="Times New Roman"/>
          <w:i/>
          <w:iCs/>
          <w:sz w:val="22"/>
          <w:szCs w:val="22"/>
        </w:rPr>
        <w:t>Sessões simultâneas de Jogos Matemáticos</w:t>
      </w:r>
      <w:r w:rsidRPr="00323A46">
        <w:rPr>
          <w:rFonts w:ascii="Vale Sans" w:eastAsia="Times New Roman" w:hAnsi="Vale Sans" w:cs="Times New Roman"/>
          <w:sz w:val="22"/>
          <w:szCs w:val="22"/>
        </w:rPr>
        <w:t xml:space="preserve"> envolve estratégias de engajamento em torno do prazer de aprender matemática entre pares, de participar de discussões sobre estratégias de resolução e de ser desafiado. Os próprios </w:t>
      </w:r>
      <w:r w:rsidRPr="00323A46">
        <w:rPr>
          <w:rFonts w:ascii="Vale Sans" w:eastAsia="Times New Roman" w:hAnsi="Vale Sans" w:cs="Times New Roman"/>
          <w:sz w:val="22"/>
          <w:szCs w:val="22"/>
        </w:rPr>
        <w:lastRenderedPageBreak/>
        <w:t>estudantes podem apoiar na mobilização de outros estudantes e membros da comunidade, a partir das experiências que já tiverem construído com os jogos nas aulas regulares.</w:t>
      </w:r>
    </w:p>
    <w:p w14:paraId="79893A42" w14:textId="77777777" w:rsidR="00B8674C" w:rsidRPr="00323A46" w:rsidRDefault="004F3564">
      <w:pPr>
        <w:spacing w:after="80" w:line="276" w:lineRule="auto"/>
        <w:jc w:val="both"/>
        <w:rPr>
          <w:rFonts w:ascii="Vale Sans" w:eastAsia="Times New Roman" w:hAnsi="Vale Sans" w:cs="Times New Roman"/>
          <w:sz w:val="22"/>
          <w:szCs w:val="22"/>
          <w:u w:val="single"/>
        </w:rPr>
      </w:pPr>
      <w:r w:rsidRPr="00323A46">
        <w:rPr>
          <w:rFonts w:ascii="Vale Sans" w:eastAsia="Times New Roman" w:hAnsi="Vale Sans" w:cs="Times New Roman"/>
          <w:sz w:val="22"/>
          <w:szCs w:val="22"/>
          <w:u w:val="single"/>
        </w:rPr>
        <w:t>Equipe escolar (docentes e demais educadores)</w:t>
      </w:r>
    </w:p>
    <w:p w14:paraId="208CF62E" w14:textId="77777777" w:rsidR="009C3B13" w:rsidRPr="00323A46" w:rsidRDefault="009C3B13">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Um componente essencial da mobilização que a gestão escolar pode desenvolver com sua equipe e com pessoas adultas da comunidade é a comunicação, orientada à construção de um propósito comum em torno do compromisso e da responsabilidade da escola com a formação matemática das e dos estudantes, bem como dos desafios envolvidos nesse processo.</w:t>
      </w:r>
    </w:p>
    <w:p w14:paraId="5ACD1475" w14:textId="77777777" w:rsidR="009C3B13" w:rsidRPr="00323A46" w:rsidRDefault="009C3B13">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A Matemática ocupa um lugar central na sociedade contemporânea, pois estrutura modos de pensar, interpretar e intervir na realidade. Sua valorização na formação escolar contribui para o desenvolvimento da autonomia intelectual das e dos estudantes. Saber matemática é promissor no plano individual, ao fortalecer a confiança, a participação social e as possibilidades de inserção acadêmica e profissional. E também no plano coletivo, ao favorecer uma sociedade mais crítica, capaz de analisar informações, enfrentar problemas complexos e construir soluções sustentadas em critérios racionais e compartilháveis. </w:t>
      </w:r>
    </w:p>
    <w:p w14:paraId="0896ACDE" w14:textId="77777777" w:rsidR="00B8674C" w:rsidRPr="00323A46" w:rsidRDefault="00EE6381">
      <w:pPr>
        <w:spacing w:after="200" w:line="276" w:lineRule="auto"/>
        <w:jc w:val="both"/>
        <w:rPr>
          <w:rFonts w:ascii="Vale Sans" w:eastAsia="Times New Roman" w:hAnsi="Vale Sans" w:cs="Times New Roman"/>
          <w:b/>
          <w:color w:val="0070C0"/>
          <w:sz w:val="22"/>
          <w:szCs w:val="22"/>
        </w:rPr>
      </w:pPr>
      <w:r w:rsidRPr="00323A46">
        <w:rPr>
          <w:rFonts w:ascii="Vale Sans" w:eastAsia="Times New Roman" w:hAnsi="Vale Sans" w:cs="Times New Roman"/>
          <w:sz w:val="22"/>
          <w:szCs w:val="22"/>
        </w:rPr>
        <w:t xml:space="preserve">Com a equipe docente, </w:t>
      </w:r>
      <w:r w:rsidR="009C3B13" w:rsidRPr="00323A46">
        <w:rPr>
          <w:rFonts w:ascii="Vale Sans" w:eastAsia="Times New Roman" w:hAnsi="Vale Sans" w:cs="Times New Roman"/>
          <w:sz w:val="22"/>
          <w:szCs w:val="22"/>
        </w:rPr>
        <w:t xml:space="preserve">recomendamos que sejam realizadas reuniões para conversar sobre as </w:t>
      </w:r>
      <w:r w:rsidR="009C3B13" w:rsidRPr="00323A46">
        <w:rPr>
          <w:rFonts w:ascii="Vale Sans" w:eastAsia="Times New Roman" w:hAnsi="Vale Sans" w:cs="Times New Roman"/>
          <w:i/>
          <w:iCs/>
          <w:sz w:val="22"/>
          <w:szCs w:val="22"/>
        </w:rPr>
        <w:t>Sessões Simultâneas de Jogos Matemáticos</w:t>
      </w:r>
      <w:r w:rsidR="009C3B13" w:rsidRPr="00323A46">
        <w:rPr>
          <w:rFonts w:ascii="Vale Sans" w:eastAsia="Times New Roman" w:hAnsi="Vale Sans" w:cs="Times New Roman"/>
          <w:sz w:val="22"/>
          <w:szCs w:val="22"/>
        </w:rPr>
        <w:t xml:space="preserve"> e discutir como cada profissional pode contribuir para o sucesso da ação institucional. Pode-se prever algumas reuniões formativas para reflexão sobre o papel docente na mediação dos jogos, sobre a importância de intervenções e socialização de estratégias durante as sessões. Por fim, refletir sobre como acompanhar e avaliar os avanços nas aprendizagens das e dos estudantes</w:t>
      </w:r>
      <w:r w:rsidRPr="00323A46">
        <w:rPr>
          <w:rFonts w:ascii="Vale Sans" w:eastAsia="Times New Roman" w:hAnsi="Vale Sans" w:cs="Times New Roman"/>
          <w:b/>
          <w:color w:val="000000" w:themeColor="text1"/>
          <w:sz w:val="22"/>
          <w:szCs w:val="22"/>
        </w:rPr>
        <w:t>.</w:t>
      </w:r>
    </w:p>
    <w:p w14:paraId="17726464" w14:textId="77777777" w:rsidR="00B8674C" w:rsidRPr="00323A46" w:rsidRDefault="004F3564">
      <w:pPr>
        <w:spacing w:after="8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Estudantes</w:t>
      </w:r>
    </w:p>
    <w:p w14:paraId="1A821C75" w14:textId="77777777" w:rsidR="00B8674C" w:rsidRPr="00323A46" w:rsidRDefault="004F3564">
      <w:pPr>
        <w:spacing w:after="200" w:line="276" w:lineRule="auto"/>
        <w:jc w:val="both"/>
        <w:rPr>
          <w:rFonts w:ascii="Vale Sans" w:eastAsia="Times New Roman" w:hAnsi="Vale Sans" w:cs="Times New Roman"/>
          <w:b/>
          <w:color w:val="0070C0"/>
          <w:sz w:val="22"/>
          <w:szCs w:val="22"/>
        </w:rPr>
      </w:pPr>
      <w:r w:rsidRPr="00323A46">
        <w:rPr>
          <w:rFonts w:ascii="Vale Sans" w:eastAsia="Times New Roman" w:hAnsi="Vale Sans" w:cs="Times New Roman"/>
          <w:sz w:val="22"/>
          <w:szCs w:val="22"/>
        </w:rPr>
        <w:t xml:space="preserve">Sob a orientação da equipe docente, os próprios estudantes podem ser os responsáveis por mobilizar uns aos outros. Para isso, cada turma pode, por exemplo, fazer cartazes, vídeos com depoimentos e explicações dos jogos ou até mesmo campanhas nas </w:t>
      </w:r>
      <w:r w:rsidR="00D72321" w:rsidRPr="00323A46">
        <w:rPr>
          <w:rFonts w:ascii="Vale Sans" w:eastAsia="Times New Roman" w:hAnsi="Vale Sans" w:cs="Times New Roman"/>
          <w:sz w:val="22"/>
          <w:szCs w:val="22"/>
        </w:rPr>
        <w:t>salas de aula e nos intervalos</w:t>
      </w:r>
      <w:r w:rsidR="009C3B13" w:rsidRPr="00323A46">
        <w:rPr>
          <w:rFonts w:ascii="Vale Sans" w:eastAsia="Times New Roman" w:hAnsi="Vale Sans" w:cs="Times New Roman"/>
          <w:sz w:val="22"/>
          <w:szCs w:val="22"/>
        </w:rPr>
        <w:t>.</w:t>
      </w:r>
    </w:p>
    <w:p w14:paraId="0C8A7CF7"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Familiares e responsáveis</w:t>
      </w:r>
    </w:p>
    <w:p w14:paraId="37E8B5A5" w14:textId="02DFBCBD"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É </w:t>
      </w:r>
      <w:r w:rsidR="00090211" w:rsidRPr="00323A46">
        <w:rPr>
          <w:rFonts w:ascii="Vale Sans" w:eastAsia="Times New Roman" w:hAnsi="Vale Sans" w:cs="Times New Roman"/>
          <w:bCs/>
          <w:color w:val="000000" w:themeColor="text1"/>
          <w:sz w:val="22"/>
          <w:szCs w:val="22"/>
        </w:rPr>
        <w:t>necessário</w:t>
      </w:r>
      <w:r w:rsidR="00486516" w:rsidRPr="00323A46">
        <w:rPr>
          <w:rFonts w:ascii="Vale Sans" w:eastAsia="Times New Roman" w:hAnsi="Vale Sans" w:cs="Times New Roman"/>
          <w:bCs/>
          <w:color w:val="000000" w:themeColor="text1"/>
          <w:sz w:val="22"/>
          <w:szCs w:val="22"/>
        </w:rPr>
        <w:t xml:space="preserve"> </w:t>
      </w:r>
      <w:r w:rsidRPr="00323A46">
        <w:rPr>
          <w:rFonts w:ascii="Vale Sans" w:eastAsia="Times New Roman" w:hAnsi="Vale Sans" w:cs="Times New Roman"/>
          <w:sz w:val="22"/>
          <w:szCs w:val="22"/>
        </w:rPr>
        <w:t>que a equipe gestora defina, junto à equipe pedagógica, o melhor momento e formato para a participação de familiares e responsáveis, considerando tanto os objetivos de aprendizagem das e dos estudantes quanto a estrutura disponível. A divulgação pode ser feita por meio de comunicados, reuniões de pais e responsáveis</w:t>
      </w:r>
      <w:r w:rsidR="00C069A5" w:rsidRPr="00323A46">
        <w:rPr>
          <w:rFonts w:ascii="Vale Sans" w:eastAsia="Times New Roman" w:hAnsi="Vale Sans" w:cs="Times New Roman"/>
          <w:sz w:val="22"/>
          <w:szCs w:val="22"/>
        </w:rPr>
        <w:t xml:space="preserve">, </w:t>
      </w:r>
      <w:r w:rsidRPr="00323A46">
        <w:rPr>
          <w:rFonts w:ascii="Vale Sans" w:eastAsia="Times New Roman" w:hAnsi="Vale Sans" w:cs="Times New Roman"/>
          <w:sz w:val="22"/>
          <w:szCs w:val="22"/>
        </w:rPr>
        <w:t>ou outros canais habituais de comunicação da escola.</w:t>
      </w:r>
    </w:p>
    <w:p w14:paraId="758D5155" w14:textId="77777777" w:rsidR="00F603FE" w:rsidRPr="00323A46" w:rsidRDefault="00F603FE" w:rsidP="00F603FE">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Recomenda-se que a equipe gestora planeje a participação das famílias e responsáveis de forma gradual. É importante conversar sobre o papel que se espera dos adultos participantes – que é o de jogar junto, não o de ensinar ou corrigir. O objetivo também é o de promover momentos em que possam se divertir juntos. </w:t>
      </w:r>
    </w:p>
    <w:p w14:paraId="7F79C919" w14:textId="77777777" w:rsidR="008F3133" w:rsidRPr="00323A46" w:rsidRDefault="008F3133">
      <w:pPr>
        <w:spacing w:before="240" w:after="80" w:line="276" w:lineRule="auto"/>
        <w:rPr>
          <w:rFonts w:ascii="Vale Sans" w:eastAsia="Times New Roman" w:hAnsi="Vale Sans" w:cs="Times New Roman"/>
          <w:b/>
          <w:bCs/>
        </w:rPr>
      </w:pPr>
    </w:p>
    <w:p w14:paraId="51F4BEEF" w14:textId="61BBDF7E" w:rsidR="00B8674C" w:rsidRPr="00323A46" w:rsidRDefault="004F3564">
      <w:pPr>
        <w:spacing w:before="240" w:after="80" w:line="276" w:lineRule="auto"/>
        <w:rPr>
          <w:rFonts w:ascii="Vale Sans" w:eastAsia="Times New Roman" w:hAnsi="Vale Sans" w:cs="Times New Roman"/>
          <w:b/>
          <w:bCs/>
        </w:rPr>
      </w:pPr>
      <w:r w:rsidRPr="00323A46">
        <w:rPr>
          <w:rFonts w:ascii="Vale Sans" w:eastAsia="Times New Roman" w:hAnsi="Vale Sans" w:cs="Times New Roman"/>
          <w:b/>
          <w:bCs/>
        </w:rPr>
        <w:t>Seleção de jogos</w:t>
      </w:r>
    </w:p>
    <w:p w14:paraId="354DBA2E"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A equipe gestora é responsável por assegurar </w:t>
      </w:r>
      <w:r w:rsidR="007F018A" w:rsidRPr="00323A46">
        <w:rPr>
          <w:rFonts w:ascii="Vale Sans" w:eastAsia="Times New Roman" w:hAnsi="Vale Sans" w:cs="Times New Roman"/>
          <w:sz w:val="22"/>
          <w:szCs w:val="22"/>
        </w:rPr>
        <w:t xml:space="preserve">a </w:t>
      </w:r>
      <w:r w:rsidR="007F018A" w:rsidRPr="00323A46">
        <w:rPr>
          <w:rFonts w:ascii="Vale Sans" w:eastAsia="Times New Roman" w:hAnsi="Vale Sans" w:cs="Times New Roman"/>
          <w:bCs/>
          <w:color w:val="000000" w:themeColor="text1"/>
          <w:sz w:val="22"/>
          <w:szCs w:val="22"/>
        </w:rPr>
        <w:t xml:space="preserve">organização dos </w:t>
      </w:r>
      <w:r w:rsidRPr="00323A46">
        <w:rPr>
          <w:rFonts w:ascii="Vale Sans" w:eastAsia="Times New Roman" w:hAnsi="Vale Sans" w:cs="Times New Roman"/>
          <w:bCs/>
          <w:color w:val="000000" w:themeColor="text1"/>
          <w:sz w:val="22"/>
          <w:szCs w:val="22"/>
        </w:rPr>
        <w:t>materiais</w:t>
      </w:r>
      <w:r w:rsidRPr="00323A46">
        <w:rPr>
          <w:rFonts w:ascii="Vale Sans" w:eastAsia="Times New Roman" w:hAnsi="Vale Sans" w:cs="Times New Roman"/>
          <w:sz w:val="22"/>
          <w:szCs w:val="22"/>
        </w:rPr>
        <w:t xml:space="preserve"> e recursos que possam ser utilizados nessa ação institucional. A seleção dos jogos para as sessões deve ser realizada pela equipe pedagógica, assegurando um rodízio dos jogos de modo a garantir um repertório diverso e com qualidade nos desafios propostos, já que a proposta é a realização de várias sessões ao longo do ano. </w:t>
      </w:r>
    </w:p>
    <w:p w14:paraId="01EC4B02"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Alguns pontos importantes a serem considerados:</w:t>
      </w:r>
    </w:p>
    <w:p w14:paraId="61064C77" w14:textId="77777777" w:rsidR="00F603FE" w:rsidRPr="00323A46" w:rsidRDefault="00F603FE">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lastRenderedPageBreak/>
        <w:t>A revisão do acervo que a escola já possui e a possibilidade de ampliá-lo</w:t>
      </w:r>
      <w:r w:rsidR="0093266B" w:rsidRPr="00323A46">
        <w:rPr>
          <w:rFonts w:ascii="Vale Sans" w:eastAsia="Times New Roman" w:hAnsi="Vale Sans" w:cs="Times New Roman"/>
          <w:sz w:val="22"/>
          <w:szCs w:val="22"/>
        </w:rPr>
        <w:t xml:space="preserve"> fazendo uso, por exemplo, de recursos do Programa Dinheiro Direto na Escola (PDDE). </w:t>
      </w:r>
    </w:p>
    <w:p w14:paraId="49B048AD"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A diversidade de conteúdos matemáticos, incluindo jogos que trabalhem com as quatro operações, geometria, raciocínio combinatório, probabilidade, entre outros, para ampliar o repertório matemático das e dos estudantes.</w:t>
      </w:r>
    </w:p>
    <w:p w14:paraId="0AE0DE5B"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A adequação ao nível de desenvolvimento, escolhendo jogos que desafiam as e os estudantes a pensarem matematicamente, mas que não sejam excessivamente complexos para seu grau de compreensão.</w:t>
      </w:r>
    </w:p>
    <w:p w14:paraId="6FBF03CD" w14:textId="77777777" w:rsidR="00B8674C" w:rsidRPr="00323A46" w:rsidRDefault="004F3564">
      <w:pPr>
        <w:numPr>
          <w:ilvl w:val="0"/>
          <w:numId w:val="1"/>
        </w:numPr>
        <w:pBdr>
          <w:top w:val="nil"/>
          <w:left w:val="nil"/>
          <w:bottom w:val="nil"/>
          <w:right w:val="nil"/>
          <w:between w:val="nil"/>
        </w:pBd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color w:val="000000"/>
          <w:sz w:val="22"/>
          <w:szCs w:val="22"/>
        </w:rPr>
        <w:t>A possibilidade de reunir neste repertório jogos tradicionais adaptados</w:t>
      </w:r>
      <w:r w:rsidRPr="00323A46">
        <w:rPr>
          <w:rFonts w:ascii="Vale Sans" w:eastAsia="Times New Roman" w:hAnsi="Vale Sans" w:cs="Times New Roman"/>
          <w:sz w:val="22"/>
          <w:szCs w:val="22"/>
        </w:rPr>
        <w:t xml:space="preserve">, como </w:t>
      </w:r>
      <w:r w:rsidRPr="00323A46">
        <w:rPr>
          <w:rFonts w:ascii="Vale Sans" w:eastAsia="Times New Roman" w:hAnsi="Vale Sans" w:cs="Times New Roman"/>
          <w:color w:val="000000"/>
          <w:sz w:val="22"/>
          <w:szCs w:val="22"/>
        </w:rPr>
        <w:t xml:space="preserve">jogos de estratégia </w:t>
      </w:r>
      <w:r w:rsidRPr="00323A46">
        <w:rPr>
          <w:rFonts w:ascii="Vale Sans" w:eastAsia="Times New Roman" w:hAnsi="Vale Sans" w:cs="Times New Roman"/>
          <w:sz w:val="22"/>
          <w:szCs w:val="22"/>
        </w:rPr>
        <w:t>com</w:t>
      </w:r>
      <w:r w:rsidRPr="00323A46">
        <w:rPr>
          <w:rFonts w:ascii="Vale Sans" w:eastAsia="Times New Roman" w:hAnsi="Vale Sans" w:cs="Times New Roman"/>
          <w:color w:val="000000"/>
          <w:sz w:val="22"/>
          <w:szCs w:val="22"/>
        </w:rPr>
        <w:t xml:space="preserve"> cartas</w:t>
      </w:r>
      <w:r w:rsidRPr="00323A46">
        <w:rPr>
          <w:rFonts w:ascii="Vale Sans" w:eastAsia="Times New Roman" w:hAnsi="Vale Sans" w:cs="Times New Roman"/>
          <w:sz w:val="22"/>
          <w:szCs w:val="22"/>
        </w:rPr>
        <w:t xml:space="preserve">, </w:t>
      </w:r>
      <w:r w:rsidRPr="00323A46">
        <w:rPr>
          <w:rFonts w:ascii="Vale Sans" w:eastAsia="Times New Roman" w:hAnsi="Vale Sans" w:cs="Times New Roman"/>
          <w:color w:val="000000"/>
          <w:sz w:val="22"/>
          <w:szCs w:val="22"/>
        </w:rPr>
        <w:t>tabuleiros, alvos, entre outros</w:t>
      </w:r>
      <w:r w:rsidR="0093266B" w:rsidRPr="00323A46">
        <w:rPr>
          <w:rFonts w:ascii="Vale Sans" w:eastAsia="Times New Roman" w:hAnsi="Vale Sans" w:cs="Times New Roman"/>
          <w:color w:val="000000"/>
          <w:sz w:val="22"/>
          <w:szCs w:val="22"/>
        </w:rPr>
        <w:t xml:space="preserve"> – que podem ser produzidos por estudantes e equipe pedagógica.</w:t>
      </w:r>
    </w:p>
    <w:p w14:paraId="0E01B8E6" w14:textId="77777777" w:rsidR="00A03A51" w:rsidRPr="00323A46" w:rsidRDefault="00C00C83" w:rsidP="00601BC4">
      <w:pPr>
        <w:numPr>
          <w:ilvl w:val="0"/>
          <w:numId w:val="1"/>
        </w:numPr>
        <w:spacing w:after="100" w:line="276" w:lineRule="auto"/>
        <w:jc w:val="both"/>
        <w:rPr>
          <w:rFonts w:ascii="Vale Sans" w:eastAsia="Times New Roman" w:hAnsi="Vale Sans" w:cs="Times New Roman"/>
          <w:sz w:val="22"/>
          <w:szCs w:val="22"/>
        </w:rPr>
      </w:pPr>
      <w:bookmarkStart w:id="1" w:name="OLE_LINK2"/>
      <w:r w:rsidRPr="00323A46">
        <w:rPr>
          <w:rFonts w:ascii="Vale Sans" w:eastAsia="Times New Roman" w:hAnsi="Vale Sans" w:cs="Times New Roman"/>
          <w:sz w:val="22"/>
          <w:szCs w:val="22"/>
        </w:rPr>
        <w:t>O uso dos jogos matemáticos da Coleção Trilhos da Alfabetização</w:t>
      </w:r>
      <w:r w:rsidR="00F50CF3" w:rsidRPr="00323A46">
        <w:rPr>
          <w:rFonts w:ascii="Vale Sans" w:eastAsia="Times New Roman" w:hAnsi="Vale Sans" w:cs="Times New Roman"/>
          <w:sz w:val="22"/>
          <w:szCs w:val="22"/>
        </w:rPr>
        <w:t>, incentivando o trabalho com os</w:t>
      </w:r>
      <w:r w:rsidR="00A03A51" w:rsidRPr="00323A46">
        <w:rPr>
          <w:rFonts w:ascii="Vale Sans" w:eastAsia="Times New Roman" w:hAnsi="Vale Sans" w:cs="Times New Roman"/>
          <w:sz w:val="22"/>
          <w:szCs w:val="22"/>
        </w:rPr>
        <w:t xml:space="preserve"> diversos</w:t>
      </w:r>
      <w:r w:rsidR="00F50CF3" w:rsidRPr="00323A46">
        <w:rPr>
          <w:rFonts w:ascii="Vale Sans" w:eastAsia="Times New Roman" w:hAnsi="Vale Sans" w:cs="Times New Roman"/>
          <w:sz w:val="22"/>
          <w:szCs w:val="22"/>
        </w:rPr>
        <w:t xml:space="preserve"> contextos </w:t>
      </w:r>
      <w:r w:rsidR="00A03A51" w:rsidRPr="00323A46">
        <w:rPr>
          <w:rFonts w:ascii="Vale Sans" w:eastAsia="Times New Roman" w:hAnsi="Vale Sans" w:cs="Times New Roman"/>
          <w:sz w:val="22"/>
          <w:szCs w:val="22"/>
        </w:rPr>
        <w:t>que eles trazem.</w:t>
      </w:r>
    </w:p>
    <w:p w14:paraId="731F18E8" w14:textId="77777777" w:rsidR="00A32FA2" w:rsidRPr="00323A46" w:rsidRDefault="00A32FA2" w:rsidP="00A32FA2">
      <w:pPr>
        <w:spacing w:after="100" w:line="276" w:lineRule="auto"/>
        <w:ind w:left="720"/>
        <w:jc w:val="both"/>
        <w:rPr>
          <w:rFonts w:ascii="Vale Sans" w:eastAsia="Times New Roman" w:hAnsi="Vale Sans" w:cs="Times New Roman"/>
          <w:sz w:val="22"/>
          <w:szCs w:val="22"/>
        </w:rPr>
      </w:pPr>
    </w:p>
    <w:p w14:paraId="0B0B75D2" w14:textId="71D4D962" w:rsidR="00601BC4" w:rsidRPr="00323A46" w:rsidRDefault="00601BC4" w:rsidP="00601BC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Esta ação, ao valorizar os contextos presentes nos jogos, favorece a construção de aprendizagens que articulam conhecimentos matemáticos a referências culturais e históricas. Entre esses contextos, destacam-se menções a artistas negros brasileiros e afro-brasileiros, bem como a cidades e lugares históricos que evidenciam as contribuições de diferentes povos</w:t>
      </w:r>
      <w:r w:rsidRPr="00323A46">
        <w:rPr>
          <w:rFonts w:ascii="Vale Sans" w:eastAsia="Times New Roman" w:hAnsi="Vale Sans" w:cs="Times New Roman"/>
          <w:color w:val="000000"/>
          <w:sz w:val="22"/>
          <w:szCs w:val="22"/>
        </w:rPr>
        <w:t>–</w:t>
      </w:r>
      <w:r w:rsidRPr="00323A46">
        <w:rPr>
          <w:rFonts w:ascii="Vale Sans" w:eastAsia="Times New Roman" w:hAnsi="Vale Sans" w:cs="Times New Roman"/>
          <w:sz w:val="22"/>
          <w:szCs w:val="22"/>
        </w:rPr>
        <w:t xml:space="preserve"> indígenas, africanos e europeus </w:t>
      </w:r>
      <w:r w:rsidRPr="00323A46">
        <w:rPr>
          <w:rFonts w:ascii="Vale Sans" w:eastAsia="Times New Roman" w:hAnsi="Vale Sans" w:cs="Times New Roman"/>
          <w:color w:val="000000"/>
          <w:sz w:val="22"/>
          <w:szCs w:val="22"/>
        </w:rPr>
        <w:t>–</w:t>
      </w:r>
      <w:r w:rsidRPr="00323A46">
        <w:rPr>
          <w:rFonts w:ascii="Vale Sans" w:eastAsia="Times New Roman" w:hAnsi="Vale Sans" w:cs="Times New Roman"/>
          <w:sz w:val="22"/>
          <w:szCs w:val="22"/>
        </w:rPr>
        <w:t xml:space="preserve"> na formação do Brasil. Ao mobilizar esses elementos, a escola amplia as possibilidades de compreensão das e dos estudantes sobre a diversidade de sujeitos, histórias e produções que constituem a sociedade brasileira, promovendo sua valorização. Assim, a proposta se alinha ao que estabelecem a Lei nº 10.639/2003 e a Lei nº 11.645/2008, fortalecendo</w:t>
      </w:r>
      <w:bookmarkEnd w:id="1"/>
      <w:r w:rsidR="00486516" w:rsidRPr="00323A46">
        <w:rPr>
          <w:rFonts w:ascii="Vale Sans" w:eastAsia="Times New Roman" w:hAnsi="Vale Sans" w:cs="Times New Roman"/>
          <w:sz w:val="22"/>
          <w:szCs w:val="22"/>
        </w:rPr>
        <w:t xml:space="preserve"> </w:t>
      </w:r>
      <w:r w:rsidR="00A32FA2" w:rsidRPr="00323A46">
        <w:rPr>
          <w:rFonts w:ascii="Vale Sans" w:eastAsia="Times New Roman" w:hAnsi="Vale Sans" w:cs="Times New Roman"/>
          <w:sz w:val="22"/>
          <w:szCs w:val="22"/>
        </w:rPr>
        <w:t>práticas pedagógicas comprometidas com a educação das relações étnico-raciais.</w:t>
      </w:r>
    </w:p>
    <w:p w14:paraId="51B39E3A" w14:textId="77777777" w:rsidR="00A32FA2" w:rsidRPr="00323A46" w:rsidRDefault="00A32FA2" w:rsidP="00601BC4">
      <w:pPr>
        <w:spacing w:after="200" w:line="276" w:lineRule="auto"/>
        <w:jc w:val="both"/>
        <w:rPr>
          <w:rFonts w:ascii="Vale Sans" w:eastAsia="Times New Roman" w:hAnsi="Vale Sans" w:cs="Times New Roman"/>
          <w:color w:val="000000"/>
          <w:sz w:val="22"/>
          <w:szCs w:val="22"/>
        </w:rPr>
      </w:pPr>
    </w:p>
    <w:p w14:paraId="72CA05F6" w14:textId="77777777" w:rsidR="00B8674C" w:rsidRPr="00323A46" w:rsidRDefault="004F3564">
      <w:pPr>
        <w:spacing w:before="240" w:after="80" w:line="276" w:lineRule="auto"/>
        <w:rPr>
          <w:rFonts w:ascii="Vale Sans" w:eastAsia="Times New Roman" w:hAnsi="Vale Sans" w:cs="Times New Roman"/>
          <w:b/>
          <w:bCs/>
        </w:rPr>
      </w:pPr>
      <w:r w:rsidRPr="00323A46">
        <w:rPr>
          <w:rFonts w:ascii="Vale Sans" w:eastAsia="Times New Roman" w:hAnsi="Vale Sans" w:cs="Times New Roman"/>
          <w:b/>
          <w:bCs/>
        </w:rPr>
        <w:t>Organização das inscrições das e dos estudantes para as sessões</w:t>
      </w:r>
    </w:p>
    <w:p w14:paraId="4B53A7FA"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É importante que seja fixado um painel na entrada da sala (ou outro espaço em que a sessão for realizada) com o nome do jogo, se possível acompanhado de uma imagem que o represente, e uma lista em que cada estudante deverá "se inscrever" colocando o seu nome. </w:t>
      </w:r>
    </w:p>
    <w:p w14:paraId="635FF42A"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As inscrições podem ser feitas com antecedência de alguns dias ou no próprio dia da atividade.</w:t>
      </w:r>
    </w:p>
    <w:p w14:paraId="7326E0FF" w14:textId="77777777" w:rsidR="00B8674C" w:rsidRPr="00323A46" w:rsidRDefault="004F3564">
      <w:pPr>
        <w:spacing w:before="240" w:after="80" w:line="276" w:lineRule="auto"/>
        <w:rPr>
          <w:rFonts w:ascii="Vale Sans" w:eastAsia="Times New Roman" w:hAnsi="Vale Sans" w:cs="Times New Roman"/>
          <w:b/>
          <w:bCs/>
        </w:rPr>
      </w:pPr>
      <w:r w:rsidRPr="00323A46">
        <w:rPr>
          <w:rFonts w:ascii="Vale Sans" w:eastAsia="Times New Roman" w:hAnsi="Vale Sans" w:cs="Times New Roman"/>
          <w:b/>
          <w:bCs/>
        </w:rPr>
        <w:t xml:space="preserve">Organização das sessões: os </w:t>
      </w:r>
      <w:r w:rsidR="00B156F4" w:rsidRPr="00323A46">
        <w:rPr>
          <w:rFonts w:ascii="Vale Sans" w:eastAsia="Times New Roman" w:hAnsi="Vale Sans" w:cs="Times New Roman"/>
          <w:b/>
          <w:bCs/>
        </w:rPr>
        <w:t>espaços</w:t>
      </w:r>
      <w:r w:rsidRPr="00323A46">
        <w:rPr>
          <w:rFonts w:ascii="Vale Sans" w:eastAsia="Times New Roman" w:hAnsi="Vale Sans" w:cs="Times New Roman"/>
          <w:b/>
          <w:bCs/>
        </w:rPr>
        <w:t xml:space="preserve"> e a dinâmica</w:t>
      </w:r>
    </w:p>
    <w:p w14:paraId="35928C80" w14:textId="4BB2B990" w:rsidR="000E6289" w:rsidRPr="00323A46" w:rsidRDefault="004F3564">
      <w:pPr>
        <w:spacing w:before="240" w:after="24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A organização das sessões requer um</w:t>
      </w:r>
      <w:r w:rsidR="00486516" w:rsidRPr="00323A46">
        <w:rPr>
          <w:rFonts w:ascii="Vale Sans" w:eastAsia="Times New Roman" w:hAnsi="Vale Sans" w:cs="Times New Roman"/>
          <w:sz w:val="22"/>
          <w:szCs w:val="22"/>
        </w:rPr>
        <w:t xml:space="preserve"> </w:t>
      </w:r>
      <w:r w:rsidR="00B156F4" w:rsidRPr="00323A46">
        <w:rPr>
          <w:rFonts w:ascii="Vale Sans" w:eastAsia="Times New Roman" w:hAnsi="Vale Sans" w:cs="Times New Roman"/>
          <w:sz w:val="22"/>
          <w:szCs w:val="22"/>
          <w:u w:val="single"/>
        </w:rPr>
        <w:t>espaço</w:t>
      </w:r>
      <w:r w:rsidR="00A64191" w:rsidRPr="00323A46">
        <w:rPr>
          <w:rFonts w:ascii="Vale Sans" w:eastAsia="Times New Roman" w:hAnsi="Vale Sans" w:cs="Times New Roman"/>
          <w:sz w:val="22"/>
          <w:szCs w:val="22"/>
          <w:u w:val="single"/>
        </w:rPr>
        <w:t xml:space="preserve"> </w:t>
      </w:r>
      <w:r w:rsidRPr="00323A46">
        <w:rPr>
          <w:rFonts w:ascii="Vale Sans" w:eastAsia="Times New Roman" w:hAnsi="Vale Sans" w:cs="Times New Roman"/>
          <w:sz w:val="22"/>
          <w:szCs w:val="22"/>
        </w:rPr>
        <w:t>intencionalmente preparado, que comunique cuidado e favoreça as interações entre todos os envolvidos</w:t>
      </w:r>
      <w:r w:rsidR="00F603FE" w:rsidRPr="00323A46">
        <w:rPr>
          <w:rFonts w:ascii="Vale Sans" w:eastAsia="Times New Roman" w:hAnsi="Vale Sans" w:cs="Times New Roman"/>
          <w:sz w:val="22"/>
          <w:szCs w:val="22"/>
        </w:rPr>
        <w:t xml:space="preserve">, </w:t>
      </w:r>
      <w:r w:rsidR="00B156F4" w:rsidRPr="00323A46">
        <w:rPr>
          <w:rFonts w:ascii="Vale Sans" w:eastAsia="Times New Roman" w:hAnsi="Vale Sans" w:cs="Times New Roman"/>
          <w:sz w:val="22"/>
          <w:szCs w:val="22"/>
        </w:rPr>
        <w:t>convertendo-se em um ambiente</w:t>
      </w:r>
      <w:r w:rsidR="00486516" w:rsidRPr="00323A46">
        <w:rPr>
          <w:rFonts w:ascii="Vale Sans" w:eastAsia="Times New Roman" w:hAnsi="Vale Sans" w:cs="Times New Roman"/>
          <w:sz w:val="22"/>
          <w:szCs w:val="22"/>
        </w:rPr>
        <w:t xml:space="preserve"> </w:t>
      </w:r>
      <w:r w:rsidR="00AA581A" w:rsidRPr="00323A46">
        <w:rPr>
          <w:rFonts w:ascii="Vale Sans" w:eastAsia="Times New Roman" w:hAnsi="Vale Sans" w:cs="Times New Roman"/>
          <w:color w:val="000000" w:themeColor="text1"/>
          <w:sz w:val="22"/>
          <w:szCs w:val="22"/>
        </w:rPr>
        <w:t>harmonioso</w:t>
      </w:r>
      <w:r w:rsidRPr="00323A46">
        <w:rPr>
          <w:rFonts w:ascii="Vale Sans" w:eastAsia="Times New Roman" w:hAnsi="Vale Sans" w:cs="Times New Roman"/>
          <w:color w:val="000000" w:themeColor="text1"/>
          <w:sz w:val="22"/>
          <w:szCs w:val="22"/>
        </w:rPr>
        <w:t>: mesas</w:t>
      </w:r>
      <w:r w:rsidRPr="00323A46">
        <w:rPr>
          <w:rFonts w:ascii="Vale Sans" w:eastAsia="Times New Roman" w:hAnsi="Vale Sans" w:cs="Times New Roman"/>
          <w:sz w:val="22"/>
          <w:szCs w:val="22"/>
        </w:rPr>
        <w:t xml:space="preserve"> agrupadas, materia</w:t>
      </w:r>
      <w:r w:rsidR="00AA581A" w:rsidRPr="00323A46">
        <w:rPr>
          <w:rFonts w:ascii="Vale Sans" w:eastAsia="Times New Roman" w:hAnsi="Vale Sans" w:cs="Times New Roman"/>
          <w:sz w:val="22"/>
          <w:szCs w:val="22"/>
        </w:rPr>
        <w:t>is acessíveis e regras visíveis</w:t>
      </w:r>
      <w:r w:rsidR="00F603FE" w:rsidRPr="00323A46">
        <w:rPr>
          <w:rFonts w:ascii="Vale Sans" w:eastAsia="Times New Roman" w:hAnsi="Vale Sans" w:cs="Times New Roman"/>
          <w:sz w:val="22"/>
          <w:szCs w:val="22"/>
        </w:rPr>
        <w:t>.</w:t>
      </w:r>
    </w:p>
    <w:p w14:paraId="5224D9B3" w14:textId="77777777" w:rsidR="00B8674C" w:rsidRPr="00323A46" w:rsidRDefault="004F3564">
      <w:pPr>
        <w:spacing w:before="240" w:after="24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A </w:t>
      </w:r>
      <w:r w:rsidRPr="00323A46">
        <w:rPr>
          <w:rFonts w:ascii="Vale Sans" w:eastAsia="Times New Roman" w:hAnsi="Vale Sans" w:cs="Times New Roman"/>
          <w:sz w:val="22"/>
          <w:szCs w:val="22"/>
          <w:u w:val="single"/>
        </w:rPr>
        <w:t>recepção e o acolhimento</w:t>
      </w:r>
      <w:r w:rsidRPr="00323A46">
        <w:rPr>
          <w:rFonts w:ascii="Vale Sans" w:eastAsia="Times New Roman" w:hAnsi="Vale Sans" w:cs="Times New Roman"/>
          <w:sz w:val="22"/>
          <w:szCs w:val="22"/>
        </w:rPr>
        <w:t xml:space="preserve"> podem ser conduzidos pela equipe gestora, desde a entrada até a abertura das sessões nas salas, garantindo um clima receptivo, especialmente porque haverá </w:t>
      </w:r>
      <w:r w:rsidR="001A58FE" w:rsidRPr="00323A46">
        <w:rPr>
          <w:rFonts w:ascii="Vale Sans" w:eastAsia="Times New Roman" w:hAnsi="Vale Sans" w:cs="Times New Roman"/>
          <w:sz w:val="22"/>
          <w:szCs w:val="22"/>
        </w:rPr>
        <w:t>agrupamentos de estudantes de diferentes turmas</w:t>
      </w:r>
      <w:r w:rsidRPr="00323A46">
        <w:rPr>
          <w:rFonts w:ascii="Vale Sans" w:eastAsia="Times New Roman" w:hAnsi="Vale Sans" w:cs="Times New Roman"/>
          <w:sz w:val="22"/>
          <w:szCs w:val="22"/>
        </w:rPr>
        <w:t xml:space="preserve">. A </w:t>
      </w:r>
      <w:r w:rsidRPr="00323A46">
        <w:rPr>
          <w:rFonts w:ascii="Vale Sans" w:eastAsia="Times New Roman" w:hAnsi="Vale Sans" w:cs="Times New Roman"/>
          <w:sz w:val="22"/>
          <w:szCs w:val="22"/>
          <w:u w:val="single"/>
        </w:rPr>
        <w:t>apresentação dos jogos</w:t>
      </w:r>
      <w:r w:rsidRPr="00323A46">
        <w:rPr>
          <w:rFonts w:ascii="Vale Sans" w:eastAsia="Times New Roman" w:hAnsi="Vale Sans" w:cs="Times New Roman"/>
          <w:sz w:val="22"/>
          <w:szCs w:val="22"/>
        </w:rPr>
        <w:t xml:space="preserve"> deve contextualizar regras, podendo envolver estudantes que já os conhecem.</w:t>
      </w:r>
    </w:p>
    <w:p w14:paraId="6AC081A4" w14:textId="77777777" w:rsidR="000E6289" w:rsidRPr="00323A46" w:rsidRDefault="004F3564">
      <w:pPr>
        <w:spacing w:before="240" w:after="24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Durante as partidas</w:t>
      </w:r>
      <w:r w:rsidRPr="00323A46">
        <w:rPr>
          <w:rFonts w:ascii="Vale Sans" w:eastAsia="Times New Roman" w:hAnsi="Vale Sans" w:cs="Times New Roman"/>
          <w:sz w:val="22"/>
          <w:szCs w:val="22"/>
        </w:rPr>
        <w:t xml:space="preserve">, a mediação docente deve priorizar a observação, com intervenções pontuais para lidar com conflitos e estimular a explicitação de estratégias, favorecendo o confronto de ideias e a argumentação matemática. </w:t>
      </w:r>
    </w:p>
    <w:p w14:paraId="763A53B5" w14:textId="77777777" w:rsidR="00B8674C" w:rsidRPr="00323A46" w:rsidRDefault="004F3564">
      <w:pPr>
        <w:spacing w:before="240" w:after="240" w:line="276" w:lineRule="auto"/>
        <w:jc w:val="both"/>
        <w:rPr>
          <w:rFonts w:ascii="Vale Sans" w:eastAsia="Times New Roman" w:hAnsi="Vale Sans" w:cs="Times New Roman"/>
          <w:sz w:val="22"/>
          <w:szCs w:val="22"/>
          <w:u w:val="single"/>
        </w:rPr>
      </w:pPr>
      <w:r w:rsidRPr="00323A46">
        <w:rPr>
          <w:rFonts w:ascii="Vale Sans" w:eastAsia="Times New Roman" w:hAnsi="Vale Sans" w:cs="Times New Roman"/>
          <w:sz w:val="22"/>
          <w:szCs w:val="22"/>
          <w:u w:val="single"/>
        </w:rPr>
        <w:lastRenderedPageBreak/>
        <w:t>Após o jogo</w:t>
      </w:r>
      <w:r w:rsidRPr="00323A46">
        <w:rPr>
          <w:rFonts w:ascii="Vale Sans" w:eastAsia="Times New Roman" w:hAnsi="Vale Sans" w:cs="Times New Roman"/>
          <w:sz w:val="22"/>
          <w:szCs w:val="22"/>
        </w:rPr>
        <w:t>, recomenda-se uma breve socialização (10 a 15 minutos) para discutir estratégias que possibilitem a ampliação de repertórios coletivo e individuais. Nesse momento, perguntas orientadoras ajudam a qualificar a reflexão, incentivando que estudantes justifiquem suas escolhas, comparem procedimentos e identifiquem avanços para futuras jogadas.</w:t>
      </w:r>
    </w:p>
    <w:p w14:paraId="36AA2C82" w14:textId="77777777" w:rsidR="00B8674C" w:rsidRPr="00323A46" w:rsidRDefault="004F3564">
      <w:pPr>
        <w:pBdr>
          <w:top w:val="single" w:sz="4" w:space="1" w:color="000000"/>
          <w:left w:val="single" w:sz="4" w:space="4" w:color="000000"/>
          <w:bottom w:val="single" w:sz="4" w:space="1" w:color="000000"/>
          <w:right w:val="single" w:sz="4" w:space="4" w:color="000000"/>
        </w:pBd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No retorno para a sala de aula regular, é importante que também aconteça uma roda de conversa para socialização sobre as experiências vividas nas diferentes salas e aprendizagens conquistadas.</w:t>
      </w:r>
    </w:p>
    <w:p w14:paraId="397A4454" w14:textId="77777777" w:rsidR="00B8674C" w:rsidRPr="00323A46" w:rsidRDefault="004F3564">
      <w:pPr>
        <w:spacing w:before="240" w:after="80" w:line="276" w:lineRule="auto"/>
        <w:rPr>
          <w:rFonts w:ascii="Vale Sans" w:eastAsia="Times New Roman" w:hAnsi="Vale Sans" w:cs="Times New Roman"/>
          <w:b/>
          <w:bCs/>
        </w:rPr>
      </w:pPr>
      <w:r w:rsidRPr="00323A46">
        <w:rPr>
          <w:rFonts w:ascii="Vale Sans" w:eastAsia="Times New Roman" w:hAnsi="Vale Sans" w:cs="Times New Roman"/>
          <w:b/>
          <w:bCs/>
        </w:rPr>
        <w:t>Frequência</w:t>
      </w:r>
    </w:p>
    <w:p w14:paraId="229C20D6"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Pode-se pensar em sessões quinzenais, mensais, bimestrais e/ou trimestrais – a frequência, a duração, dia e horário das sessões dependem dos combinados e encaminhamentos definidos pela equipe escolar.</w:t>
      </w:r>
    </w:p>
    <w:p w14:paraId="5AA46ECF" w14:textId="77777777" w:rsidR="00F603FE" w:rsidRPr="00323A46" w:rsidRDefault="00F603FE">
      <w:pPr>
        <w:spacing w:after="200" w:line="276" w:lineRule="auto"/>
        <w:jc w:val="both"/>
        <w:rPr>
          <w:rFonts w:ascii="Vale Sans" w:eastAsia="Times New Roman" w:hAnsi="Vale Sans" w:cs="Times New Roman"/>
          <w:sz w:val="22"/>
          <w:szCs w:val="22"/>
        </w:rPr>
      </w:pPr>
    </w:p>
    <w:p w14:paraId="41820661" w14:textId="77777777" w:rsidR="008F3133" w:rsidRPr="00323A46" w:rsidRDefault="008F3133" w:rsidP="008F3133">
      <w:pPr>
        <w:spacing w:line="360" w:lineRule="auto"/>
        <w:jc w:val="both"/>
        <w:rPr>
          <w:rFonts w:ascii="Vale Sans" w:eastAsia="Barlow" w:hAnsi="Vale Sans" w:cs="Times New Roman"/>
          <w:b/>
          <w:bCs/>
          <w:sz w:val="22"/>
          <w:szCs w:val="22"/>
        </w:rPr>
      </w:pPr>
      <w:r w:rsidRPr="00323A46">
        <w:rPr>
          <w:rFonts w:ascii="Vale Sans" w:eastAsia="Barlow" w:hAnsi="Vale Sans" w:cs="Times New Roman"/>
          <w:b/>
          <w:bCs/>
          <w:sz w:val="22"/>
          <w:szCs w:val="22"/>
        </w:rPr>
        <w:t xml:space="preserve">ETAPAS DA AÇÃO </w:t>
      </w:r>
    </w:p>
    <w:p w14:paraId="050F9330" w14:textId="77777777" w:rsidR="008F3133" w:rsidRPr="00323A46" w:rsidRDefault="008F3133" w:rsidP="008F3133">
      <w:pPr>
        <w:spacing w:line="360" w:lineRule="auto"/>
        <w:jc w:val="both"/>
        <w:rPr>
          <w:rFonts w:ascii="Vale Sans" w:hAnsi="Vale Sans" w:cs="Times New Roman"/>
          <w:sz w:val="22"/>
          <w:szCs w:val="22"/>
        </w:rPr>
      </w:pPr>
    </w:p>
    <w:p w14:paraId="6E6444FA" w14:textId="35A138DF"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No processo de implementação da ação, são necessários encaminhamentos considerando a gestão de pessoas, do acompanhamento da ação e das aprendizagens realizadas pelas e pelos estudantes, do tempo, dos processos, dos recursos e dos espaços. Compartilhamos aqui os encaminhamentos necessários para que a equipe gestora possa planejar, implementar, acompanhar e avaliar a ação institucional:</w:t>
      </w:r>
    </w:p>
    <w:p w14:paraId="0D0E4A25" w14:textId="77777777" w:rsidR="008F3133" w:rsidRPr="00323A46" w:rsidRDefault="008F3133" w:rsidP="008F3133">
      <w:pPr>
        <w:spacing w:line="360" w:lineRule="auto"/>
        <w:jc w:val="both"/>
        <w:rPr>
          <w:rFonts w:ascii="Vale Sans" w:hAnsi="Vale Sans" w:cs="Times New Roman"/>
          <w:sz w:val="22"/>
          <w:szCs w:val="22"/>
        </w:rPr>
      </w:pPr>
    </w:p>
    <w:p w14:paraId="17B70E7A" w14:textId="77777777" w:rsidR="008F3133" w:rsidRPr="00323A46" w:rsidRDefault="008F3133" w:rsidP="008F3133">
      <w:pPr>
        <w:spacing w:line="360" w:lineRule="auto"/>
        <w:jc w:val="both"/>
        <w:rPr>
          <w:rFonts w:ascii="Vale Sans" w:hAnsi="Vale Sans" w:cs="Times New Roman"/>
          <w:b/>
          <w:bCs/>
          <w:sz w:val="22"/>
          <w:szCs w:val="22"/>
        </w:rPr>
      </w:pPr>
      <w:r w:rsidRPr="00323A46">
        <w:rPr>
          <w:rFonts w:ascii="Vale Sans" w:hAnsi="Vale Sans" w:cs="Times New Roman"/>
          <w:b/>
          <w:bCs/>
          <w:sz w:val="22"/>
          <w:szCs w:val="22"/>
        </w:rPr>
        <w:t>1. Organizar e realizar reunião com professoras e professores</w:t>
      </w:r>
    </w:p>
    <w:p w14:paraId="64B32846" w14:textId="77777777"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Planejar a pauta da reunião com docentes considerando envolvê-los na ação institucional:</w:t>
      </w:r>
    </w:p>
    <w:p w14:paraId="481CE9FC"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Como explicitar conquistas que podem ser alcançadas pelas e pelos estudantes, por meio da ação institucional?</w:t>
      </w:r>
    </w:p>
    <w:p w14:paraId="1849393F"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Quais estudantes participarão dessa atividade? Que turmas estarão envolvidas?</w:t>
      </w:r>
    </w:p>
    <w:p w14:paraId="4C25F16A"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Em que momento da rotina a ação será realizada? Pode variar a depender da turma?</w:t>
      </w:r>
    </w:p>
    <w:p w14:paraId="66AB4CF1"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Com que frequência acontecerá: Semanalmente? Quinzenalmente? Mensalmente?</w:t>
      </w:r>
    </w:p>
    <w:p w14:paraId="54B3A6CC"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Qual o encaminhamento da reunião para que todas e todos possam iniciar o planejamento da ação?</w:t>
      </w:r>
    </w:p>
    <w:p w14:paraId="0B12B382" w14:textId="77777777" w:rsidR="008F3133" w:rsidRPr="00323A46" w:rsidRDefault="008F3133" w:rsidP="008F3133">
      <w:pPr>
        <w:spacing w:line="360" w:lineRule="auto"/>
        <w:jc w:val="both"/>
        <w:rPr>
          <w:rFonts w:ascii="Vale Sans" w:hAnsi="Vale Sans" w:cs="Times New Roman"/>
          <w:sz w:val="22"/>
          <w:szCs w:val="22"/>
        </w:rPr>
      </w:pPr>
    </w:p>
    <w:p w14:paraId="677D3C12" w14:textId="77777777" w:rsidR="008F3133" w:rsidRPr="00323A46" w:rsidRDefault="008F3133" w:rsidP="008F3133">
      <w:pPr>
        <w:tabs>
          <w:tab w:val="left" w:pos="284"/>
        </w:tabs>
        <w:spacing w:line="360" w:lineRule="auto"/>
        <w:jc w:val="both"/>
        <w:rPr>
          <w:rFonts w:ascii="Vale Sans" w:hAnsi="Vale Sans" w:cs="Times New Roman"/>
          <w:b/>
          <w:bCs/>
          <w:sz w:val="22"/>
          <w:szCs w:val="22"/>
        </w:rPr>
      </w:pPr>
      <w:r w:rsidRPr="00323A46">
        <w:rPr>
          <w:rFonts w:ascii="Vale Sans" w:hAnsi="Vale Sans" w:cs="Times New Roman"/>
          <w:b/>
          <w:bCs/>
          <w:sz w:val="22"/>
          <w:szCs w:val="22"/>
        </w:rPr>
        <w:t>2. Reunir ideias das e dos estudantes para planejar a ação.</w:t>
      </w:r>
    </w:p>
    <w:p w14:paraId="4A766112" w14:textId="77777777" w:rsidR="008F3133" w:rsidRPr="00323A46" w:rsidRDefault="008F3133" w:rsidP="008F3133">
      <w:pPr>
        <w:spacing w:line="360" w:lineRule="auto"/>
        <w:jc w:val="both"/>
        <w:rPr>
          <w:rFonts w:ascii="Vale Sans" w:hAnsi="Vale Sans" w:cs="Times New Roman"/>
          <w:sz w:val="22"/>
          <w:szCs w:val="22"/>
        </w:rPr>
      </w:pPr>
    </w:p>
    <w:p w14:paraId="3A76C3E9" w14:textId="77777777" w:rsidR="008F3133" w:rsidRPr="00323A46" w:rsidRDefault="008F3133" w:rsidP="008F3133">
      <w:pPr>
        <w:spacing w:line="360" w:lineRule="auto"/>
        <w:jc w:val="both"/>
        <w:rPr>
          <w:rFonts w:ascii="Vale Sans" w:hAnsi="Vale Sans" w:cs="Times New Roman"/>
          <w:b/>
          <w:bCs/>
          <w:sz w:val="22"/>
          <w:szCs w:val="22"/>
        </w:rPr>
      </w:pPr>
      <w:r w:rsidRPr="00323A46">
        <w:rPr>
          <w:rFonts w:ascii="Vale Sans" w:hAnsi="Vale Sans" w:cs="Times New Roman"/>
          <w:b/>
          <w:bCs/>
          <w:sz w:val="22"/>
          <w:szCs w:val="22"/>
        </w:rPr>
        <w:t>3. Organizar percurso de ações formativas com docentes</w:t>
      </w:r>
    </w:p>
    <w:p w14:paraId="79468959"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Assegurar que a coordenação pedagógica apoie docentes no planejamento de situações didáticas envolvendo Práticas de Linguagem ou Matemática.</w:t>
      </w:r>
    </w:p>
    <w:p w14:paraId="22101505"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Definir possibilidades de atuação da coordenação pedagógica em torno da formação continuada de docentes com foco na implementação da ação institucional.</w:t>
      </w:r>
    </w:p>
    <w:p w14:paraId="5E0313B1"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lastRenderedPageBreak/>
        <w:t>Definir possibilidades de atuação da coordenação pedagógica em torno do acompanhamento das práticas pedagógicas realizadas em sala de aula.</w:t>
      </w:r>
    </w:p>
    <w:p w14:paraId="371753F4"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Definir possibilidades de atuação da coordenação pedagógica em torno do acompanhamento das aprendizagens dos estudantes.</w:t>
      </w:r>
    </w:p>
    <w:p w14:paraId="14FC8BA3" w14:textId="77777777" w:rsidR="008F3133" w:rsidRPr="00323A46" w:rsidRDefault="008F3133" w:rsidP="008F3133">
      <w:pPr>
        <w:spacing w:line="360" w:lineRule="auto"/>
        <w:jc w:val="both"/>
        <w:rPr>
          <w:rFonts w:ascii="Vale Sans" w:hAnsi="Vale Sans" w:cs="Times New Roman"/>
          <w:sz w:val="22"/>
          <w:szCs w:val="22"/>
        </w:rPr>
      </w:pPr>
    </w:p>
    <w:p w14:paraId="3785B772" w14:textId="77777777" w:rsidR="008F3133" w:rsidRPr="00323A46" w:rsidRDefault="008F3133" w:rsidP="008F3133">
      <w:pPr>
        <w:spacing w:line="360" w:lineRule="auto"/>
        <w:jc w:val="both"/>
        <w:rPr>
          <w:rFonts w:ascii="Vale Sans" w:hAnsi="Vale Sans" w:cs="Times New Roman"/>
          <w:b/>
          <w:bCs/>
          <w:sz w:val="22"/>
          <w:szCs w:val="22"/>
        </w:rPr>
      </w:pPr>
      <w:r w:rsidRPr="00323A46">
        <w:rPr>
          <w:rFonts w:ascii="Vale Sans" w:hAnsi="Vale Sans" w:cs="Times New Roman"/>
          <w:b/>
          <w:bCs/>
          <w:sz w:val="22"/>
          <w:szCs w:val="22"/>
        </w:rPr>
        <w:t>4. Acompanhamento da implementação da ação</w:t>
      </w:r>
    </w:p>
    <w:p w14:paraId="1FDB51FB"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b/>
          <w:color w:val="0070C0"/>
          <w:sz w:val="22"/>
          <w:szCs w:val="22"/>
        </w:rPr>
      </w:pPr>
      <w:r w:rsidRPr="00323A46">
        <w:rPr>
          <w:rFonts w:ascii="Vale Sans" w:hAnsi="Vale Sans" w:cs="Times New Roman"/>
          <w:sz w:val="22"/>
          <w:szCs w:val="22"/>
        </w:rPr>
        <w:t>Acompanhar as etapas da implementação da ação, documentando o processo.</w:t>
      </w:r>
    </w:p>
    <w:p w14:paraId="3BE4BB30" w14:textId="77777777" w:rsidR="008F3133" w:rsidRPr="00323A46" w:rsidRDefault="008F3133" w:rsidP="008F3133">
      <w:pPr>
        <w:pStyle w:val="PargrafodaLista"/>
        <w:numPr>
          <w:ilvl w:val="0"/>
          <w:numId w:val="4"/>
        </w:numPr>
        <w:tabs>
          <w:tab w:val="left" w:pos="426"/>
        </w:tabs>
        <w:spacing w:line="360" w:lineRule="auto"/>
        <w:ind w:left="284" w:firstLine="0"/>
        <w:jc w:val="both"/>
        <w:rPr>
          <w:rFonts w:ascii="Vale Sans" w:hAnsi="Vale Sans" w:cs="Times New Roman"/>
          <w:sz w:val="22"/>
          <w:szCs w:val="22"/>
        </w:rPr>
      </w:pPr>
      <w:r w:rsidRPr="00323A46">
        <w:rPr>
          <w:rFonts w:ascii="Vale Sans" w:hAnsi="Vale Sans" w:cs="Times New Roman"/>
          <w:sz w:val="22"/>
          <w:szCs w:val="22"/>
        </w:rPr>
        <w:t xml:space="preserve">Dar visibilidade para a ação implementada, engajando a comunidade escolar.: </w:t>
      </w:r>
    </w:p>
    <w:p w14:paraId="50EDF255" w14:textId="77777777" w:rsidR="008F3133" w:rsidRPr="00323A46" w:rsidRDefault="008F3133" w:rsidP="008F3133">
      <w:pPr>
        <w:tabs>
          <w:tab w:val="left" w:pos="426"/>
        </w:tabs>
        <w:spacing w:line="360" w:lineRule="auto"/>
        <w:jc w:val="both"/>
        <w:rPr>
          <w:rFonts w:ascii="Vale Sans" w:hAnsi="Vale Sans" w:cs="Times New Roman"/>
          <w:b/>
          <w:bCs/>
          <w:sz w:val="22"/>
          <w:szCs w:val="22"/>
        </w:rPr>
      </w:pPr>
      <w:r w:rsidRPr="00323A46">
        <w:rPr>
          <w:rFonts w:ascii="Vale Sans" w:hAnsi="Vale Sans" w:cs="Times New Roman"/>
          <w:b/>
          <w:bCs/>
          <w:sz w:val="22"/>
          <w:szCs w:val="22"/>
        </w:rPr>
        <w:t>4. 1. Acompanhamento das aprendizagens realizadas pelas e pelos estudantes</w:t>
      </w:r>
    </w:p>
    <w:p w14:paraId="5376952C" w14:textId="77777777"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Alguns indicadores que podem orientar o acompanhamento contínuo da equipe gestora relacionados as práticas docentes e às aprendizagens das e dos estudantes encontram-se detalhados nas fichas, articulados com as ações institucionais.</w:t>
      </w:r>
    </w:p>
    <w:p w14:paraId="0745A137" w14:textId="77777777" w:rsidR="008F3133" w:rsidRPr="00323A46" w:rsidRDefault="008F3133" w:rsidP="008F3133">
      <w:pPr>
        <w:spacing w:line="360" w:lineRule="auto"/>
        <w:jc w:val="both"/>
        <w:rPr>
          <w:rFonts w:ascii="Vale Sans" w:hAnsi="Vale Sans" w:cs="Times New Roman"/>
          <w:sz w:val="22"/>
          <w:szCs w:val="22"/>
        </w:rPr>
      </w:pPr>
    </w:p>
    <w:p w14:paraId="1546617F" w14:textId="77777777" w:rsidR="008F3133" w:rsidRPr="00323A46" w:rsidRDefault="008F3133" w:rsidP="008F3133">
      <w:pPr>
        <w:spacing w:line="360" w:lineRule="auto"/>
        <w:jc w:val="both"/>
        <w:rPr>
          <w:rFonts w:ascii="Vale Sans" w:hAnsi="Vale Sans" w:cs="Times New Roman"/>
          <w:b/>
          <w:bCs/>
          <w:sz w:val="22"/>
          <w:szCs w:val="22"/>
        </w:rPr>
      </w:pPr>
      <w:r w:rsidRPr="00323A46">
        <w:rPr>
          <w:rFonts w:ascii="Vale Sans" w:hAnsi="Vale Sans" w:cs="Times New Roman"/>
          <w:b/>
          <w:bCs/>
          <w:sz w:val="22"/>
          <w:szCs w:val="22"/>
        </w:rPr>
        <w:t>5. Documentar e avaliar a ação implementada</w:t>
      </w:r>
    </w:p>
    <w:p w14:paraId="4817068D" w14:textId="77777777" w:rsidR="008F3133" w:rsidRPr="00323A46" w:rsidRDefault="008F3133" w:rsidP="008F3133">
      <w:pPr>
        <w:spacing w:before="240" w:line="360" w:lineRule="auto"/>
        <w:jc w:val="both"/>
        <w:rPr>
          <w:rFonts w:ascii="Vale Sans" w:hAnsi="Vale Sans" w:cs="Times New Roman"/>
          <w:sz w:val="22"/>
          <w:szCs w:val="22"/>
        </w:rPr>
      </w:pPr>
      <w:r w:rsidRPr="00323A46">
        <w:rPr>
          <w:rFonts w:ascii="Vale Sans" w:hAnsi="Vale Sans" w:cs="Times New Roman"/>
          <w:sz w:val="22"/>
          <w:szCs w:val="22"/>
        </w:rPr>
        <w:t>O registro e a documentação são competências a serem desenvolvidas pelos Gestores Escolares; são antes processos de gestão muito relevantes que permitem construir a memória do percurso vivido, retomando o processo considerando diferentes momentos relacionados às etapas da implementação da ação. É importante que a diretora/o diretor faça registros meio de fotos de momentos e cenas interessantes, vídeos, registros escritos pelas e pelos estudantes ou produzidos pelas professoras e professores, pelos familiares e pessoas da comunidade, ao longo de toda a implementação.</w:t>
      </w:r>
    </w:p>
    <w:p w14:paraId="366318A7" w14:textId="77777777" w:rsidR="008F3133" w:rsidRPr="00323A46" w:rsidRDefault="008F3133" w:rsidP="008F3133">
      <w:pPr>
        <w:spacing w:before="240" w:line="360" w:lineRule="auto"/>
        <w:jc w:val="both"/>
        <w:rPr>
          <w:rFonts w:ascii="Vale Sans" w:eastAsia="Barlow" w:hAnsi="Vale Sans" w:cs="Times New Roman"/>
          <w:sz w:val="22"/>
          <w:szCs w:val="22"/>
        </w:rPr>
      </w:pPr>
      <w:r w:rsidRPr="00323A46">
        <w:rPr>
          <w:rFonts w:ascii="Vale Sans" w:eastAsia="Barlow" w:hAnsi="Vale Sans" w:cs="Times New Roman"/>
          <w:sz w:val="22"/>
          <w:szCs w:val="22"/>
        </w:rPr>
        <w:t>Essa documentação constituída por evidências dá vida à escola, às relações e são fundamentais no processo de institucionalização de práticas pedagógicas assumidas.</w:t>
      </w:r>
    </w:p>
    <w:p w14:paraId="12B598CF" w14:textId="77777777"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 xml:space="preserve">Em relação a </w:t>
      </w:r>
      <w:r w:rsidRPr="00323A46">
        <w:rPr>
          <w:rFonts w:ascii="Vale Sans" w:hAnsi="Vale Sans" w:cs="Times New Roman"/>
          <w:b/>
          <w:bCs/>
          <w:sz w:val="22"/>
          <w:szCs w:val="22"/>
        </w:rPr>
        <w:t xml:space="preserve">avaliação </w:t>
      </w:r>
      <w:r w:rsidRPr="00323A46">
        <w:rPr>
          <w:rFonts w:ascii="Vale Sans" w:hAnsi="Vale Sans" w:cs="Times New Roman"/>
          <w:sz w:val="22"/>
          <w:szCs w:val="22"/>
        </w:rPr>
        <w:t>da ação é necessário fazê-la com a equipe pedagógica e também com as e os estudantes.</w:t>
      </w:r>
    </w:p>
    <w:p w14:paraId="5BB40461" w14:textId="77777777"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A avaliação contínua das etapas da ação pode trazer muitas informações que permitam ajustes de rota durante o processo. Importante retomar os objetivos da ação e avaliar com a equipe se houve avanços nas aprendizagens das e dos estudantes, se houve avanços na capacidade argumentativa, se</w:t>
      </w:r>
      <w:r w:rsidRPr="00323A46">
        <w:rPr>
          <w:rFonts w:ascii="Vale Sans" w:eastAsia="Barlow" w:hAnsi="Vale Sans" w:cs="Times New Roman"/>
          <w:sz w:val="22"/>
          <w:szCs w:val="22"/>
        </w:rPr>
        <w:t xml:space="preserve"> estão se expressando melhor, se contam com uma escuta mais apurada, se estão utilizando estratégias mais eficientes, </w:t>
      </w:r>
      <w:r w:rsidRPr="00323A46">
        <w:rPr>
          <w:rFonts w:ascii="Vale Sans" w:hAnsi="Vale Sans" w:cs="Times New Roman"/>
          <w:sz w:val="22"/>
          <w:szCs w:val="22"/>
        </w:rPr>
        <w:t>que pontos merecem atenção e podem ser aperfeiçoados e quais foram as aprendizagens realizadas pelos educadores na organização do trabalho pedagógico no que diz respeito aos espaços, tempos e relações. Com o apoio da coordenação pedagógica e do registro das informações anteriores, essas informações ajudarão a equipe gestora a planejar ou replanejar a continuidade de ações com foco na aprendizagem das e dos estudantes.</w:t>
      </w:r>
    </w:p>
    <w:p w14:paraId="2418EC82" w14:textId="77777777"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 xml:space="preserve">A avaliação da ação pode ser realizada por meio de reunião de avaliação com equipe pedagógica, com professoras/es), analisando os impactos da ação na ampliação do repertório cultural, na aprendizagem </w:t>
      </w:r>
      <w:r w:rsidRPr="00323A46">
        <w:rPr>
          <w:rFonts w:ascii="Vale Sans" w:hAnsi="Vale Sans" w:cs="Times New Roman"/>
          <w:sz w:val="22"/>
          <w:szCs w:val="22"/>
        </w:rPr>
        <w:lastRenderedPageBreak/>
        <w:t xml:space="preserve">das e dos estudantes das práticas de linguagem e também para as relações étnico raciais e, pluralidade cultural na escola. </w:t>
      </w:r>
    </w:p>
    <w:p w14:paraId="6B3606F3" w14:textId="77777777"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Precisa também ser realizada com estudantes participantes por meio de um encontro, uma roda de conversa em que possam pensar sobre como viram os encontros e que sugestões possuem.</w:t>
      </w:r>
    </w:p>
    <w:p w14:paraId="12B57C4F" w14:textId="77777777" w:rsidR="008F3133" w:rsidRPr="00323A46" w:rsidRDefault="008F3133" w:rsidP="008F3133">
      <w:pPr>
        <w:spacing w:line="360" w:lineRule="auto"/>
        <w:jc w:val="both"/>
        <w:rPr>
          <w:rFonts w:ascii="Vale Sans" w:hAnsi="Vale Sans" w:cs="Times New Roman"/>
          <w:sz w:val="22"/>
          <w:szCs w:val="22"/>
        </w:rPr>
      </w:pPr>
      <w:r w:rsidRPr="00323A46">
        <w:rPr>
          <w:rFonts w:ascii="Vale Sans" w:hAnsi="Vale Sans" w:cs="Times New Roman"/>
          <w:sz w:val="22"/>
          <w:szCs w:val="22"/>
        </w:rPr>
        <w:t>É importante que sejam feitos registros da avaliação da ação sobretudo dos ajustes que foram realizados e como o trabalho pode ser continuado.</w:t>
      </w:r>
    </w:p>
    <w:p w14:paraId="545AFBFD" w14:textId="77777777" w:rsidR="008F3133" w:rsidRPr="00323A46" w:rsidRDefault="008F3133">
      <w:pPr>
        <w:spacing w:after="200" w:line="276" w:lineRule="auto"/>
        <w:jc w:val="both"/>
        <w:rPr>
          <w:rFonts w:ascii="Vale Sans" w:eastAsia="Times New Roman" w:hAnsi="Vale Sans" w:cs="Times New Roman"/>
          <w:sz w:val="22"/>
          <w:szCs w:val="22"/>
        </w:rPr>
      </w:pPr>
    </w:p>
    <w:p w14:paraId="713BD676" w14:textId="4A14AE4D" w:rsidR="00F603FE" w:rsidRPr="00323A46" w:rsidRDefault="00F603FE">
      <w:pPr>
        <w:spacing w:after="200" w:line="276" w:lineRule="auto"/>
        <w:jc w:val="both"/>
        <w:rPr>
          <w:rFonts w:ascii="Vale Sans" w:eastAsia="Times New Roman" w:hAnsi="Vale Sans" w:cs="Times New Roman"/>
          <w:b/>
          <w:bCs/>
          <w:sz w:val="22"/>
          <w:szCs w:val="22"/>
        </w:rPr>
      </w:pPr>
    </w:p>
    <w:p w14:paraId="35E1514D" w14:textId="77777777" w:rsidR="00B8674C" w:rsidRPr="00323A46" w:rsidRDefault="004F3564">
      <w:pPr>
        <w:spacing w:after="80" w:line="276" w:lineRule="auto"/>
        <w:rPr>
          <w:rFonts w:ascii="Vale Sans" w:eastAsia="Times New Roman" w:hAnsi="Vale Sans" w:cs="Times New Roman"/>
          <w:b/>
          <w:bCs/>
          <w:sz w:val="22"/>
          <w:szCs w:val="22"/>
        </w:rPr>
      </w:pPr>
      <w:r w:rsidRPr="00323A46">
        <w:rPr>
          <w:rFonts w:ascii="Vale Sans" w:eastAsia="Times New Roman" w:hAnsi="Vale Sans" w:cs="Times New Roman"/>
          <w:b/>
          <w:bCs/>
        </w:rPr>
        <w:t>Acompanhamento e avaliação do desenvolvimento da ação</w:t>
      </w:r>
      <w:r w:rsidRPr="00323A46">
        <w:rPr>
          <w:rFonts w:ascii="Vale Sans" w:eastAsia="Times New Roman" w:hAnsi="Vale Sans" w:cs="Times New Roman"/>
          <w:b/>
          <w:bCs/>
          <w:sz w:val="22"/>
          <w:szCs w:val="22"/>
        </w:rPr>
        <w:br/>
      </w:r>
    </w:p>
    <w:p w14:paraId="1FF8C43A" w14:textId="77777777" w:rsidR="00B8674C" w:rsidRPr="00323A46" w:rsidRDefault="004F3564">
      <w:pPr>
        <w:spacing w:after="8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Alguns indicadores que podem orientar o acompanhamento contínuo da equipe gestora das </w:t>
      </w:r>
      <w:r w:rsidRPr="00323A46">
        <w:rPr>
          <w:rFonts w:ascii="Vale Sans" w:eastAsia="Times New Roman" w:hAnsi="Vale Sans" w:cs="Times New Roman"/>
          <w:i/>
          <w:iCs/>
          <w:sz w:val="22"/>
          <w:szCs w:val="22"/>
        </w:rPr>
        <w:t>Sessões Simultâneas de Jogos Matemáticos</w:t>
      </w:r>
      <w:r w:rsidRPr="00323A46">
        <w:rPr>
          <w:rFonts w:ascii="Vale Sans" w:eastAsia="Times New Roman" w:hAnsi="Vale Sans" w:cs="Times New Roman"/>
          <w:sz w:val="22"/>
          <w:szCs w:val="22"/>
        </w:rPr>
        <w:t xml:space="preserve"> são: </w:t>
      </w:r>
    </w:p>
    <w:p w14:paraId="258CA2F7" w14:textId="77777777" w:rsidR="00B8674C" w:rsidRPr="00323A46" w:rsidRDefault="00B8674C">
      <w:pPr>
        <w:spacing w:after="80" w:line="276" w:lineRule="auto"/>
        <w:rPr>
          <w:rFonts w:ascii="Vale Sans" w:eastAsia="Times New Roman" w:hAnsi="Vale Sans" w:cs="Times New Roman"/>
          <w:sz w:val="22"/>
          <w:szCs w:val="22"/>
        </w:rPr>
      </w:pPr>
    </w:p>
    <w:p w14:paraId="1F54928F" w14:textId="77777777" w:rsidR="00B8674C" w:rsidRPr="00323A46" w:rsidRDefault="004F3564">
      <w:pPr>
        <w:spacing w:after="6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Em relação às e aos estudantes</w:t>
      </w:r>
    </w:p>
    <w:p w14:paraId="0A872D9A"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Engajamento e entusiasmo durante as sessões: as e os estudantes chegam motivados, escolhem os jogos com interesse e pedem para repetir a experiência?</w:t>
      </w:r>
    </w:p>
    <w:p w14:paraId="7EED2284" w14:textId="77777777" w:rsidR="00FC16A6" w:rsidRPr="00323A46" w:rsidRDefault="004F3564" w:rsidP="00FC16A6">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Qualidade das discussões matemáticas: as e os estudantes conseguem explicar suas estratégias, questionar as dos colegas e argumentar sobre suas escolhas?</w:t>
      </w:r>
    </w:p>
    <w:p w14:paraId="6A521D48"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Ampliação do repertório de estratégias: ao longo do tempo, as e os estudantes demonstram maior diversidade e avanços nos procedimentos de cálculo e resolução utilizados?</w:t>
      </w:r>
    </w:p>
    <w:p w14:paraId="6B3A529B"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Contribuição para a sala de aula regular: as e os estudantes mencionam ou fazem uso, nas aulas, de aprendizagens ou estratégias vivenciadas nas sessões?</w:t>
      </w:r>
    </w:p>
    <w:p w14:paraId="37800363" w14:textId="77777777" w:rsidR="004B34B7" w:rsidRPr="00323A46" w:rsidRDefault="004B34B7" w:rsidP="004B34B7">
      <w:pPr>
        <w:spacing w:after="100" w:line="276" w:lineRule="auto"/>
        <w:ind w:left="360"/>
        <w:jc w:val="both"/>
        <w:rPr>
          <w:rFonts w:ascii="Vale Sans" w:eastAsia="Times New Roman" w:hAnsi="Vale Sans" w:cs="Times New Roman"/>
          <w:sz w:val="22"/>
          <w:szCs w:val="22"/>
        </w:rPr>
      </w:pPr>
    </w:p>
    <w:p w14:paraId="450EC934" w14:textId="77777777" w:rsidR="00B8674C" w:rsidRPr="00323A46" w:rsidRDefault="004F3564">
      <w:pPr>
        <w:spacing w:after="6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Em relação à equipe docente</w:t>
      </w:r>
    </w:p>
    <w:p w14:paraId="63499A5E"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Engajamento das professoras e professores no planejamento e na mediação das sessões.</w:t>
      </w:r>
    </w:p>
    <w:p w14:paraId="19B3F71F" w14:textId="77777777" w:rsidR="00FC16A6"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Qualidade das intervenções durante e após os jogos: as professoras e os professores fazem perguntas que promovem reflexão? Conduzem bem a socialização?</w:t>
      </w:r>
    </w:p>
    <w:p w14:paraId="281C141D" w14:textId="77777777" w:rsidR="00B8674C" w:rsidRPr="00323A46" w:rsidRDefault="00FC16A6">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Valorização de participantes: meninas, pessoas negras e indígenas, historicamente afastad</w:t>
      </w:r>
      <w:r w:rsidR="0093266B" w:rsidRPr="00323A46">
        <w:rPr>
          <w:rFonts w:ascii="Vale Sans" w:eastAsia="Times New Roman" w:hAnsi="Vale Sans" w:cs="Times New Roman"/>
          <w:sz w:val="22"/>
          <w:szCs w:val="22"/>
        </w:rPr>
        <w:t>a</w:t>
      </w:r>
      <w:r w:rsidRPr="00323A46">
        <w:rPr>
          <w:rFonts w:ascii="Vale Sans" w:eastAsia="Times New Roman" w:hAnsi="Vale Sans" w:cs="Times New Roman"/>
          <w:sz w:val="22"/>
          <w:szCs w:val="22"/>
        </w:rPr>
        <w:t>s da matemática, são valorizadas e têm um ambiente seguro e livre de discriminação nesse contexto?</w:t>
      </w:r>
    </w:p>
    <w:p w14:paraId="583C6AAF" w14:textId="77777777" w:rsidR="00015CA8" w:rsidRPr="00323A46" w:rsidRDefault="00015CA8" w:rsidP="00015CA8">
      <w:pPr>
        <w:numPr>
          <w:ilvl w:val="0"/>
          <w:numId w:val="3"/>
        </w:numPr>
        <w:spacing w:after="100" w:line="276" w:lineRule="auto"/>
        <w:jc w:val="both"/>
        <w:rPr>
          <w:rFonts w:ascii="Vale Sans" w:eastAsia="Times New Roman" w:hAnsi="Vale Sans" w:cs="Times New Roman"/>
          <w:bCs/>
          <w:color w:val="000000" w:themeColor="text1"/>
          <w:sz w:val="22"/>
          <w:szCs w:val="22"/>
        </w:rPr>
      </w:pPr>
      <w:r w:rsidRPr="00323A46">
        <w:rPr>
          <w:rFonts w:ascii="Vale Sans" w:eastAsia="Times New Roman" w:hAnsi="Vale Sans" w:cs="Times New Roman"/>
          <w:bCs/>
          <w:color w:val="000000" w:themeColor="text1"/>
          <w:sz w:val="22"/>
          <w:szCs w:val="22"/>
        </w:rPr>
        <w:t>As professoras e professores socializam suas observações e contribuem com o registro da ação?</w:t>
      </w:r>
    </w:p>
    <w:p w14:paraId="20D5A6B9" w14:textId="77777777" w:rsidR="00015CA8" w:rsidRPr="00323A46" w:rsidRDefault="00015CA8" w:rsidP="00015CA8">
      <w:pPr>
        <w:spacing w:after="100" w:line="276" w:lineRule="auto"/>
        <w:jc w:val="both"/>
        <w:rPr>
          <w:rFonts w:ascii="Vale Sans" w:eastAsia="Times New Roman" w:hAnsi="Vale Sans" w:cs="Times New Roman"/>
          <w:sz w:val="22"/>
          <w:szCs w:val="22"/>
        </w:rPr>
      </w:pPr>
    </w:p>
    <w:p w14:paraId="3F69D74E"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Uso das observações das sessões para orientar o trabalho em sala de aula.</w:t>
      </w:r>
    </w:p>
    <w:p w14:paraId="5A75ABD8" w14:textId="77777777" w:rsidR="00B8674C" w:rsidRPr="00323A46" w:rsidRDefault="004F3564">
      <w:pPr>
        <w:spacing w:after="6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u w:val="single"/>
        </w:rPr>
        <w:t>Em relação à gestão e à escola</w:t>
      </w:r>
    </w:p>
    <w:p w14:paraId="6F4E5582"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Regularidade das sessões conforme o cronograma planejado.</w:t>
      </w:r>
    </w:p>
    <w:p w14:paraId="2B33467A"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Participação crescente de estudantes e, progressivamente, de famílias.</w:t>
      </w:r>
    </w:p>
    <w:p w14:paraId="69237F86"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Registro sistemático das sessões (fotos, anotações, produções de estudantes).</w:t>
      </w:r>
    </w:p>
    <w:p w14:paraId="11E02348" w14:textId="77777777" w:rsidR="00B8674C" w:rsidRPr="00323A46" w:rsidRDefault="004F3564">
      <w:pPr>
        <w:numPr>
          <w:ilvl w:val="0"/>
          <w:numId w:val="3"/>
        </w:numPr>
        <w:spacing w:after="1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lastRenderedPageBreak/>
        <w:t>Percepção da comunidade escolar sobre a ação: docentes, famílias e estudantes reconhecem o valor das sessões?</w:t>
      </w:r>
    </w:p>
    <w:p w14:paraId="5EB62E56"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Quando a gestão escolar realiza as </w:t>
      </w:r>
      <w:r w:rsidRPr="00323A46">
        <w:rPr>
          <w:rFonts w:ascii="Vale Sans" w:eastAsia="Times New Roman" w:hAnsi="Vale Sans" w:cs="Times New Roman"/>
          <w:i/>
          <w:iCs/>
          <w:sz w:val="22"/>
          <w:szCs w:val="22"/>
        </w:rPr>
        <w:t xml:space="preserve">Sessões Simultâneas de Jogos Matemáticos </w:t>
      </w:r>
      <w:r w:rsidRPr="00323A46">
        <w:rPr>
          <w:rFonts w:ascii="Vale Sans" w:eastAsia="Times New Roman" w:hAnsi="Vale Sans" w:cs="Times New Roman"/>
          <w:sz w:val="22"/>
          <w:szCs w:val="22"/>
        </w:rPr>
        <w:t xml:space="preserve">com intencionalidade, essa ação institucional pode se consolidar como uma potente estratégia para o desenvolvimento de competências matemáticas das e dos estudantes, fortalecendo o uso do jogo como um recurso didático na escola. </w:t>
      </w:r>
    </w:p>
    <w:p w14:paraId="30F8AF0F" w14:textId="77777777" w:rsidR="00486516" w:rsidRPr="00323A46" w:rsidRDefault="00486516">
      <w:pPr>
        <w:spacing w:after="200" w:line="276" w:lineRule="auto"/>
        <w:jc w:val="both"/>
        <w:rPr>
          <w:rFonts w:ascii="Vale Sans" w:eastAsia="Times New Roman" w:hAnsi="Vale Sans" w:cs="Times New Roman"/>
          <w:b/>
          <w:bCs/>
          <w:sz w:val="26"/>
          <w:szCs w:val="26"/>
        </w:rPr>
      </w:pPr>
    </w:p>
    <w:p w14:paraId="7782BB40" w14:textId="1A790D1C" w:rsidR="00B8674C" w:rsidRPr="00323A46" w:rsidRDefault="004F3564">
      <w:pPr>
        <w:spacing w:after="200" w:line="276" w:lineRule="auto"/>
        <w:jc w:val="both"/>
        <w:rPr>
          <w:rFonts w:ascii="Vale Sans" w:eastAsia="Times New Roman" w:hAnsi="Vale Sans" w:cs="Times New Roman"/>
          <w:b/>
          <w:bCs/>
          <w:sz w:val="26"/>
          <w:szCs w:val="26"/>
        </w:rPr>
      </w:pPr>
      <w:r w:rsidRPr="00323A46">
        <w:rPr>
          <w:rFonts w:ascii="Vale Sans" w:eastAsia="Times New Roman" w:hAnsi="Vale Sans" w:cs="Times New Roman"/>
          <w:b/>
          <w:bCs/>
          <w:sz w:val="26"/>
          <w:szCs w:val="26"/>
        </w:rPr>
        <w:t>Referências</w:t>
      </w:r>
    </w:p>
    <w:p w14:paraId="6D5681BB"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COHEN, Elizabeth G e LOTAN, Rachel A. Planejando o Trabalho em Grupo. Estratégias para salas de aula heterogêneas. Porto Alegre : Penso, 2017.</w:t>
      </w:r>
    </w:p>
    <w:p w14:paraId="2ABBC9F6"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MORENO, Beatriz Ressia. Juegos Matemáticos. </w:t>
      </w:r>
      <w:r w:rsidRPr="00323A46">
        <w:rPr>
          <w:rFonts w:ascii="Vale Sans" w:eastAsia="Times New Roman" w:hAnsi="Vale Sans" w:cs="Times New Roman"/>
          <w:i/>
          <w:iCs/>
          <w:sz w:val="22"/>
          <w:szCs w:val="22"/>
        </w:rPr>
        <w:t>In.:</w:t>
      </w:r>
      <w:r w:rsidRPr="00323A46">
        <w:rPr>
          <w:rFonts w:ascii="Vale Sans" w:eastAsia="Times New Roman" w:hAnsi="Vale Sans" w:cs="Times New Roman"/>
          <w:sz w:val="22"/>
          <w:szCs w:val="22"/>
        </w:rPr>
        <w:t xml:space="preserve"> WOLMAN, S... [et.al.]. Enseñar Matemática enlaescuela primaria. Buenos Aires: Tinta Fresca, 2009.</w:t>
      </w:r>
    </w:p>
    <w:p w14:paraId="013FB2EB" w14:textId="77777777" w:rsidR="00B8674C" w:rsidRPr="00323A46" w:rsidRDefault="004F3564">
      <w:pPr>
        <w:spacing w:after="200" w:line="276" w:lineRule="auto"/>
        <w:jc w:val="both"/>
        <w:rPr>
          <w:rFonts w:ascii="Vale Sans" w:eastAsia="Times New Roman" w:hAnsi="Vale Sans" w:cs="Times New Roman"/>
          <w:sz w:val="22"/>
          <w:szCs w:val="22"/>
        </w:rPr>
      </w:pPr>
      <w:r w:rsidRPr="00323A46">
        <w:rPr>
          <w:rFonts w:ascii="Vale Sans" w:eastAsia="Times New Roman" w:hAnsi="Vale Sans" w:cs="Times New Roman"/>
          <w:sz w:val="22"/>
          <w:szCs w:val="22"/>
        </w:rPr>
        <w:t xml:space="preserve">QUARANTA, MaríaEmilia e WOLMAN, Susana. Discussões nas aulas de matemática: o que, para que e como se discute. </w:t>
      </w:r>
      <w:r w:rsidRPr="00323A46">
        <w:rPr>
          <w:rFonts w:ascii="Vale Sans" w:eastAsia="Times New Roman" w:hAnsi="Vale Sans" w:cs="Times New Roman"/>
          <w:i/>
          <w:iCs/>
          <w:sz w:val="22"/>
          <w:szCs w:val="22"/>
        </w:rPr>
        <w:t>In.:</w:t>
      </w:r>
      <w:r w:rsidRPr="00323A46">
        <w:rPr>
          <w:rFonts w:ascii="Vale Sans" w:eastAsia="Times New Roman" w:hAnsi="Vale Sans" w:cs="Times New Roman"/>
          <w:sz w:val="22"/>
          <w:szCs w:val="22"/>
        </w:rPr>
        <w:t xml:space="preserve"> PANIZZA, M. e colaboradores. Ensinar Matemática na Educação Infantil e nas séries iniciais — Análises e Propostas. Porto Alegre: Artmed, 2006.</w:t>
      </w:r>
    </w:p>
    <w:sectPr w:rsidR="00B8674C" w:rsidRPr="00323A46" w:rsidSect="00676CDA">
      <w:headerReference w:type="default" r:id="rId9"/>
      <w:footerReference w:type="even" r:id="rId10"/>
      <w:footerReference w:type="default" r:id="rId11"/>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1D2EB9" w14:textId="77777777" w:rsidR="00C37FC8" w:rsidRDefault="00C37FC8">
      <w:r>
        <w:separator/>
      </w:r>
    </w:p>
  </w:endnote>
  <w:endnote w:type="continuationSeparator" w:id="0">
    <w:p w14:paraId="7AA0BA5B" w14:textId="77777777" w:rsidR="00C37FC8" w:rsidRDefault="00C37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827609D-AA62-4A9B-ABFE-F791B74BDEE7}"/>
  </w:font>
  <w:font w:name="Tahoma">
    <w:panose1 w:val="020B0604030504040204"/>
    <w:charset w:val="00"/>
    <w:family w:val="swiss"/>
    <w:pitch w:val="variable"/>
    <w:sig w:usb0="E1002EFF" w:usb1="C000605B" w:usb2="00000029" w:usb3="00000000" w:csb0="000101FF" w:csb1="00000000"/>
    <w:embedRegular r:id="rId2" w:fontKey="{E961E4A6-6A77-4DAB-BE3E-5A2983D0FBDD}"/>
  </w:font>
  <w:font w:name="Vale Sans">
    <w:panose1 w:val="020B0503020204030204"/>
    <w:charset w:val="00"/>
    <w:family w:val="swiss"/>
    <w:pitch w:val="variable"/>
    <w:sig w:usb0="00000007" w:usb1="00000001" w:usb2="00000000" w:usb3="00000000" w:csb0="00000093" w:csb1="00000000"/>
    <w:embedRegular r:id="rId3" w:fontKey="{66EDB45B-96D9-4791-BC67-B4EA2790E8FC}"/>
    <w:embedBold r:id="rId4" w:fontKey="{B5C1CDC2-4AFC-4A59-A445-7ABF29A82CB6}"/>
    <w:embedItalic r:id="rId5" w:fontKey="{082A3B76-0DC3-438D-A924-51F31D21426E}"/>
    <w:embedBoldItalic r:id="rId6" w:fontKey="{309BE7A4-92BD-49A2-A2D2-CB403911E9CE}"/>
  </w:font>
  <w:font w:name="Barlow">
    <w:charset w:val="00"/>
    <w:family w:val="auto"/>
    <w:pitch w:val="variable"/>
    <w:sig w:usb0="20000007" w:usb1="00000000" w:usb2="00000000" w:usb3="00000000" w:csb0="00000193" w:csb1="00000000"/>
    <w:embedRegular r:id="rId7" w:fontKey="{554870AA-F7A8-41B2-95B5-3ED1936519BA}"/>
    <w:embedBold r:id="rId8" w:fontKey="{1124306C-8A3B-4AC3-A987-EB09821AFFD5}"/>
  </w:font>
  <w:font w:name="Aptos Display">
    <w:altName w:val="Arial"/>
    <w:charset w:val="00"/>
    <w:family w:val="swiss"/>
    <w:pitch w:val="variable"/>
    <w:sig w:usb0="20000287" w:usb1="00000003" w:usb2="00000000" w:usb3="00000000" w:csb0="0000019F" w:csb1="00000000"/>
    <w:embedRegular r:id="rId9" w:fontKey="{D7F037D7-7B48-4F5B-B083-A13BD5B5589D}"/>
  </w:font>
  <w:font w:name="Aptos">
    <w:altName w:val="Arial"/>
    <w:charset w:val="00"/>
    <w:family w:val="swiss"/>
    <w:pitch w:val="variable"/>
    <w:sig w:usb0="20000287" w:usb1="00000003" w:usb2="00000000" w:usb3="00000000" w:csb0="0000019F" w:csb1="00000000"/>
    <w:embedRegular r:id="rId10" w:fontKey="{1793A0C7-E1B6-456F-961F-44FEDB51B5E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A1E6E" w14:textId="77777777" w:rsidR="00313EF8" w:rsidRDefault="00BB5CDF">
    <w:pPr>
      <w:pBdr>
        <w:top w:val="nil"/>
        <w:left w:val="nil"/>
        <w:bottom w:val="nil"/>
        <w:right w:val="nil"/>
        <w:between w:val="nil"/>
      </w:pBdr>
      <w:tabs>
        <w:tab w:val="center" w:pos="4252"/>
        <w:tab w:val="right" w:pos="8504"/>
      </w:tabs>
      <w:jc w:val="right"/>
      <w:rPr>
        <w:color w:val="000000"/>
      </w:rPr>
    </w:pPr>
    <w:r>
      <w:rPr>
        <w:color w:val="000000"/>
      </w:rPr>
      <w:fldChar w:fldCharType="begin"/>
    </w:r>
    <w:r w:rsidR="00313EF8">
      <w:rPr>
        <w:color w:val="000000"/>
      </w:rPr>
      <w:instrText>PAGE</w:instrText>
    </w:r>
    <w:r>
      <w:rPr>
        <w:color w:val="000000"/>
      </w:rPr>
      <w:fldChar w:fldCharType="end"/>
    </w:r>
  </w:p>
  <w:p w14:paraId="458E3090" w14:textId="77777777" w:rsidR="00313EF8" w:rsidRDefault="00313EF8">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CE3A" w14:textId="1CBD4D91" w:rsidR="00313EF8" w:rsidRDefault="00BB5CDF">
    <w:pPr>
      <w:pBdr>
        <w:top w:val="nil"/>
        <w:left w:val="nil"/>
        <w:bottom w:val="nil"/>
        <w:right w:val="nil"/>
        <w:between w:val="nil"/>
      </w:pBdr>
      <w:tabs>
        <w:tab w:val="center" w:pos="4252"/>
        <w:tab w:val="right" w:pos="8504"/>
      </w:tabs>
      <w:jc w:val="right"/>
      <w:rPr>
        <w:color w:val="000000"/>
      </w:rPr>
    </w:pPr>
    <w:r>
      <w:rPr>
        <w:color w:val="000000"/>
      </w:rPr>
      <w:fldChar w:fldCharType="begin"/>
    </w:r>
    <w:r w:rsidR="00313EF8">
      <w:rPr>
        <w:color w:val="000000"/>
      </w:rPr>
      <w:instrText>PAGE</w:instrText>
    </w:r>
    <w:r>
      <w:rPr>
        <w:color w:val="000000"/>
      </w:rPr>
      <w:fldChar w:fldCharType="separate"/>
    </w:r>
    <w:r w:rsidR="00323A46">
      <w:rPr>
        <w:noProof/>
        <w:color w:val="000000"/>
      </w:rPr>
      <w:t>1</w:t>
    </w:r>
    <w:r>
      <w:rPr>
        <w:color w:val="000000"/>
      </w:rPr>
      <w:fldChar w:fldCharType="end"/>
    </w:r>
  </w:p>
  <w:p w14:paraId="47EC9044" w14:textId="77777777" w:rsidR="00313EF8" w:rsidRDefault="00313EF8">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D466A" w14:textId="77777777" w:rsidR="00C37FC8" w:rsidRDefault="00C37FC8">
      <w:r>
        <w:separator/>
      </w:r>
    </w:p>
  </w:footnote>
  <w:footnote w:type="continuationSeparator" w:id="0">
    <w:p w14:paraId="013CA43F" w14:textId="77777777" w:rsidR="00C37FC8" w:rsidRDefault="00C37F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DBDDB" w14:textId="4706A5E3" w:rsidR="00323A46" w:rsidRDefault="00323A46">
    <w:pPr>
      <w:pStyle w:val="Cabealho"/>
    </w:pPr>
    <w:r>
      <w:rPr>
        <w:noProof/>
      </w:rPr>
      <w:drawing>
        <wp:anchor distT="0" distB="0" distL="114300" distR="114300" simplePos="0" relativeHeight="251661312" behindDoc="0" locked="0" layoutInCell="1" hidden="0" allowOverlap="1" wp14:anchorId="6516D2AC" wp14:editId="6CCB3174">
          <wp:simplePos x="0" y="0"/>
          <wp:positionH relativeFrom="column">
            <wp:posOffset>4953000</wp:posOffset>
          </wp:positionH>
          <wp:positionV relativeFrom="paragraph">
            <wp:posOffset>-133985</wp:posOffset>
          </wp:positionV>
          <wp:extent cx="796290" cy="390525"/>
          <wp:effectExtent l="0" t="0" r="0" b="0"/>
          <wp:wrapSquare wrapText="bothSides" distT="0" distB="0" distL="114300" distR="114300"/>
          <wp:docPr id="1" name="image2.png" descr="Logo CE Cedac"/>
          <wp:cNvGraphicFramePr/>
          <a:graphic xmlns:a="http://schemas.openxmlformats.org/drawingml/2006/main">
            <a:graphicData uri="http://schemas.openxmlformats.org/drawingml/2006/picture">
              <pic:pic xmlns:pic="http://schemas.openxmlformats.org/drawingml/2006/picture">
                <pic:nvPicPr>
                  <pic:cNvPr id="0" name="image2.png" descr="Logo CE Cedac"/>
                  <pic:cNvPicPr preferRelativeResize="0"/>
                </pic:nvPicPr>
                <pic:blipFill>
                  <a:blip r:embed="rId1"/>
                  <a:srcRect/>
                  <a:stretch>
                    <a:fillRect/>
                  </a:stretch>
                </pic:blipFill>
                <pic:spPr>
                  <a:xfrm>
                    <a:off x="0" y="0"/>
                    <a:ext cx="796290" cy="390525"/>
                  </a:xfrm>
                  <a:prstGeom prst="rect">
                    <a:avLst/>
                  </a:prstGeom>
                  <a:ln/>
                </pic:spPr>
              </pic:pic>
            </a:graphicData>
          </a:graphic>
        </wp:anchor>
      </w:drawing>
    </w:r>
    <w:r>
      <w:rPr>
        <w:noProof/>
      </w:rPr>
      <w:drawing>
        <wp:anchor distT="0" distB="0" distL="0" distR="0" simplePos="0" relativeHeight="251659264" behindDoc="1" locked="0" layoutInCell="1" hidden="0" allowOverlap="1" wp14:anchorId="3918E3BC" wp14:editId="3ED6BE12">
          <wp:simplePos x="0" y="0"/>
          <wp:positionH relativeFrom="column">
            <wp:posOffset>-180975</wp:posOffset>
          </wp:positionH>
          <wp:positionV relativeFrom="paragraph">
            <wp:posOffset>-162560</wp:posOffset>
          </wp:positionV>
          <wp:extent cx="1198445" cy="387121"/>
          <wp:effectExtent l="0" t="0" r="0" b="0"/>
          <wp:wrapNone/>
          <wp:docPr id="2" name="image1.png" descr="Text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Texto, Logotipo&#10;&#10;Descrição gerada automaticamente"/>
                  <pic:cNvPicPr preferRelativeResize="0"/>
                </pic:nvPicPr>
                <pic:blipFill>
                  <a:blip r:embed="rId2"/>
                  <a:srcRect/>
                  <a:stretch>
                    <a:fillRect/>
                  </a:stretch>
                </pic:blipFill>
                <pic:spPr>
                  <a:xfrm>
                    <a:off x="0" y="0"/>
                    <a:ext cx="1198445" cy="3871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1C88"/>
    <w:multiLevelType w:val="multilevel"/>
    <w:tmpl w:val="874041F8"/>
    <w:lvl w:ilvl="0">
      <w:start w:val="1"/>
      <w:numFmt w:val="bullet"/>
      <w:lvlText w:val="•"/>
      <w:lvlJc w:val="left"/>
      <w:pPr>
        <w:ind w:left="720" w:hanging="360"/>
      </w:pPr>
      <w:rPr>
        <w:u w:val="none"/>
      </w:rPr>
    </w:lvl>
    <w:lvl w:ilvl="1">
      <w:start w:val="1"/>
      <w:numFmt w:val="bullet"/>
      <w:lvlText w:val="–"/>
      <w:lvlJc w:val="left"/>
      <w:pPr>
        <w:ind w:left="1080" w:hanging="360"/>
      </w:pPr>
      <w:rPr>
        <w:u w:val="none"/>
      </w:rPr>
    </w:lvl>
    <w:lvl w:ilvl="2">
      <w:numFmt w:val="decimal"/>
      <w:lvlText w:val=""/>
      <w:lvlJc w:val="left"/>
      <w:pPr>
        <w:ind w:left="0" w:firstLine="0"/>
      </w:pPr>
      <w:rPr>
        <w:u w:val="none"/>
      </w:rPr>
    </w:lvl>
    <w:lvl w:ilvl="3">
      <w:numFmt w:val="decimal"/>
      <w:lvlText w:val=""/>
      <w:lvlJc w:val="left"/>
      <w:pPr>
        <w:ind w:left="0" w:firstLine="0"/>
      </w:pPr>
      <w:rPr>
        <w:u w:val="none"/>
      </w:rPr>
    </w:lvl>
    <w:lvl w:ilvl="4">
      <w:numFmt w:val="decimal"/>
      <w:lvlText w:val=""/>
      <w:lvlJc w:val="left"/>
      <w:pPr>
        <w:ind w:left="0" w:firstLine="0"/>
      </w:pPr>
      <w:rPr>
        <w:u w:val="none"/>
      </w:rPr>
    </w:lvl>
    <w:lvl w:ilvl="5">
      <w:numFmt w:val="decimal"/>
      <w:lvlText w:val=""/>
      <w:lvlJc w:val="left"/>
      <w:pPr>
        <w:ind w:left="0" w:firstLine="0"/>
      </w:pPr>
      <w:rPr>
        <w:u w:val="none"/>
      </w:rPr>
    </w:lvl>
    <w:lvl w:ilvl="6">
      <w:numFmt w:val="decimal"/>
      <w:lvlText w:val=""/>
      <w:lvlJc w:val="left"/>
      <w:pPr>
        <w:ind w:left="0" w:firstLine="0"/>
      </w:pPr>
      <w:rPr>
        <w:u w:val="none"/>
      </w:rPr>
    </w:lvl>
    <w:lvl w:ilvl="7">
      <w:numFmt w:val="decimal"/>
      <w:lvlText w:val=""/>
      <w:lvlJc w:val="left"/>
      <w:pPr>
        <w:ind w:left="0" w:firstLine="0"/>
      </w:pPr>
      <w:rPr>
        <w:u w:val="none"/>
      </w:rPr>
    </w:lvl>
    <w:lvl w:ilvl="8">
      <w:numFmt w:val="decimal"/>
      <w:lvlText w:val=""/>
      <w:lvlJc w:val="left"/>
      <w:pPr>
        <w:ind w:left="0" w:firstLine="0"/>
      </w:pPr>
      <w:rPr>
        <w:u w:val="none"/>
      </w:rPr>
    </w:lvl>
  </w:abstractNum>
  <w:abstractNum w:abstractNumId="1" w15:restartNumberingAfterBreak="0">
    <w:nsid w:val="3A7F571B"/>
    <w:multiLevelType w:val="multilevel"/>
    <w:tmpl w:val="B9824E26"/>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5D1F486F"/>
    <w:multiLevelType w:val="multilevel"/>
    <w:tmpl w:val="159686FC"/>
    <w:lvl w:ilvl="0">
      <w:start w:val="1"/>
      <w:numFmt w:val="bullet"/>
      <w:lvlText w:val="•"/>
      <w:lvlJc w:val="left"/>
      <w:pPr>
        <w:ind w:left="720" w:hanging="360"/>
      </w:pPr>
    </w:lvl>
    <w:lvl w:ilvl="1">
      <w:start w:val="1"/>
      <w:numFmt w:val="bullet"/>
      <w:lvlText w:val="o"/>
      <w:lvlJc w:val="left"/>
      <w:pPr>
        <w:ind w:left="1080" w:hanging="360"/>
      </w:pPr>
      <w:rPr>
        <w:rFonts w:ascii="Courier New" w:eastAsia="Courier New" w:hAnsi="Courier New" w:cs="Courier New"/>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6D9B1DDF"/>
    <w:multiLevelType w:val="hybridMultilevel"/>
    <w:tmpl w:val="51849EEA"/>
    <w:lvl w:ilvl="0" w:tplc="EE3C25DC">
      <w:start w:val="1"/>
      <w:numFmt w:val="bullet"/>
      <w:lvlText w:val="•"/>
      <w:lvlJc w:val="left"/>
      <w:pPr>
        <w:ind w:left="720" w:hanging="360"/>
      </w:pPr>
    </w:lvl>
    <w:lvl w:ilvl="1" w:tplc="D2FA6644">
      <w:start w:val="1"/>
      <w:numFmt w:val="bullet"/>
      <w:lvlText w:val="–"/>
      <w:lvlJc w:val="left"/>
      <w:pPr>
        <w:ind w:left="1080" w:hanging="360"/>
      </w:pPr>
    </w:lvl>
    <w:lvl w:ilvl="2" w:tplc="AD82034E">
      <w:numFmt w:val="decimal"/>
      <w:lvlText w:val=""/>
      <w:lvlJc w:val="left"/>
    </w:lvl>
    <w:lvl w:ilvl="3" w:tplc="3FFAD910">
      <w:numFmt w:val="decimal"/>
      <w:lvlText w:val=""/>
      <w:lvlJc w:val="left"/>
    </w:lvl>
    <w:lvl w:ilvl="4" w:tplc="F0AA5DBC">
      <w:numFmt w:val="decimal"/>
      <w:lvlText w:val=""/>
      <w:lvlJc w:val="left"/>
    </w:lvl>
    <w:lvl w:ilvl="5" w:tplc="47A4CD8A">
      <w:numFmt w:val="decimal"/>
      <w:lvlText w:val=""/>
      <w:lvlJc w:val="left"/>
    </w:lvl>
    <w:lvl w:ilvl="6" w:tplc="C59CA234">
      <w:numFmt w:val="decimal"/>
      <w:lvlText w:val=""/>
      <w:lvlJc w:val="left"/>
    </w:lvl>
    <w:lvl w:ilvl="7" w:tplc="193A4A0E">
      <w:numFmt w:val="decimal"/>
      <w:lvlText w:val=""/>
      <w:lvlJc w:val="left"/>
    </w:lvl>
    <w:lvl w:ilvl="8" w:tplc="5DD899DC">
      <w:numFmt w:val="decimal"/>
      <w:lvlText w:val=""/>
      <w:lvlJc w:val="left"/>
    </w:lvl>
  </w:abstractNum>
  <w:num w:numId="1">
    <w:abstractNumId w:val="1"/>
  </w:num>
  <w:num w:numId="2">
    <w:abstractNumId w:val="2"/>
  </w:num>
  <w:num w:numId="3">
    <w:abstractNumId w:val="0"/>
  </w:num>
  <w:num w:numId="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74C"/>
    <w:rsid w:val="00012447"/>
    <w:rsid w:val="00015CA8"/>
    <w:rsid w:val="00090211"/>
    <w:rsid w:val="000E6289"/>
    <w:rsid w:val="00140DA2"/>
    <w:rsid w:val="00152D42"/>
    <w:rsid w:val="001837E1"/>
    <w:rsid w:val="001A58FE"/>
    <w:rsid w:val="002C1A62"/>
    <w:rsid w:val="002F7594"/>
    <w:rsid w:val="003009A5"/>
    <w:rsid w:val="00313EF8"/>
    <w:rsid w:val="00323A46"/>
    <w:rsid w:val="003445E6"/>
    <w:rsid w:val="003501E3"/>
    <w:rsid w:val="00350588"/>
    <w:rsid w:val="003564D2"/>
    <w:rsid w:val="00390D65"/>
    <w:rsid w:val="003B7326"/>
    <w:rsid w:val="003D52FA"/>
    <w:rsid w:val="003F6042"/>
    <w:rsid w:val="00432F1D"/>
    <w:rsid w:val="0043370E"/>
    <w:rsid w:val="004552DB"/>
    <w:rsid w:val="00472B4A"/>
    <w:rsid w:val="00473BA2"/>
    <w:rsid w:val="00474B17"/>
    <w:rsid w:val="00486516"/>
    <w:rsid w:val="004B34B7"/>
    <w:rsid w:val="004F3564"/>
    <w:rsid w:val="00545A65"/>
    <w:rsid w:val="00580F54"/>
    <w:rsid w:val="00601BC4"/>
    <w:rsid w:val="0060626C"/>
    <w:rsid w:val="00645F7D"/>
    <w:rsid w:val="00655DE8"/>
    <w:rsid w:val="00676CDA"/>
    <w:rsid w:val="006E4387"/>
    <w:rsid w:val="0070163C"/>
    <w:rsid w:val="007117B9"/>
    <w:rsid w:val="00735EF3"/>
    <w:rsid w:val="00743822"/>
    <w:rsid w:val="007623B4"/>
    <w:rsid w:val="00770110"/>
    <w:rsid w:val="00777D37"/>
    <w:rsid w:val="00790F7B"/>
    <w:rsid w:val="007A4125"/>
    <w:rsid w:val="007C387F"/>
    <w:rsid w:val="007D1B60"/>
    <w:rsid w:val="007F018A"/>
    <w:rsid w:val="00893DC1"/>
    <w:rsid w:val="008D2A15"/>
    <w:rsid w:val="008F3133"/>
    <w:rsid w:val="0093266B"/>
    <w:rsid w:val="00942494"/>
    <w:rsid w:val="00942B9E"/>
    <w:rsid w:val="00974196"/>
    <w:rsid w:val="009B725C"/>
    <w:rsid w:val="009C3B13"/>
    <w:rsid w:val="009F5C1C"/>
    <w:rsid w:val="00A03A51"/>
    <w:rsid w:val="00A1520F"/>
    <w:rsid w:val="00A32FA2"/>
    <w:rsid w:val="00A50135"/>
    <w:rsid w:val="00A53755"/>
    <w:rsid w:val="00A64191"/>
    <w:rsid w:val="00A67F0C"/>
    <w:rsid w:val="00A85B80"/>
    <w:rsid w:val="00A9145E"/>
    <w:rsid w:val="00A91877"/>
    <w:rsid w:val="00AA581A"/>
    <w:rsid w:val="00AB13AD"/>
    <w:rsid w:val="00AD07B7"/>
    <w:rsid w:val="00B156F4"/>
    <w:rsid w:val="00B64BBB"/>
    <w:rsid w:val="00B8674C"/>
    <w:rsid w:val="00BB5CDF"/>
    <w:rsid w:val="00BC19F3"/>
    <w:rsid w:val="00BF7418"/>
    <w:rsid w:val="00C00C83"/>
    <w:rsid w:val="00C069A5"/>
    <w:rsid w:val="00C3045F"/>
    <w:rsid w:val="00C32F90"/>
    <w:rsid w:val="00C3741A"/>
    <w:rsid w:val="00C37FC8"/>
    <w:rsid w:val="00C71EA9"/>
    <w:rsid w:val="00CD39BF"/>
    <w:rsid w:val="00D03A2C"/>
    <w:rsid w:val="00D57235"/>
    <w:rsid w:val="00D72321"/>
    <w:rsid w:val="00D82399"/>
    <w:rsid w:val="00D8261E"/>
    <w:rsid w:val="00DB0DF9"/>
    <w:rsid w:val="00DD5EBD"/>
    <w:rsid w:val="00E46BAC"/>
    <w:rsid w:val="00EA2EE6"/>
    <w:rsid w:val="00EE6381"/>
    <w:rsid w:val="00F06551"/>
    <w:rsid w:val="00F46A32"/>
    <w:rsid w:val="00F50CF3"/>
    <w:rsid w:val="00F603FE"/>
    <w:rsid w:val="00F7421E"/>
    <w:rsid w:val="00FC16A6"/>
    <w:rsid w:val="00FD67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D2D54"/>
  <w15:docId w15:val="{45975B83-5D51-664C-99D5-EA527EF11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CDA"/>
  </w:style>
  <w:style w:type="paragraph" w:styleId="Ttulo1">
    <w:name w:val="heading 1"/>
    <w:basedOn w:val="Normal"/>
    <w:next w:val="Normal"/>
    <w:uiPriority w:val="9"/>
    <w:qFormat/>
    <w:rsid w:val="00676CDA"/>
    <w:pPr>
      <w:pBdr>
        <w:top w:val="nil"/>
        <w:left w:val="nil"/>
        <w:bottom w:val="nil"/>
        <w:right w:val="nil"/>
        <w:between w:val="nil"/>
      </w:pBdr>
      <w:spacing w:after="200"/>
      <w:outlineLvl w:val="0"/>
    </w:pPr>
    <w:rPr>
      <w:b/>
      <w:bCs/>
      <w:color w:val="000000"/>
      <w:sz w:val="36"/>
      <w:szCs w:val="36"/>
    </w:rPr>
  </w:style>
  <w:style w:type="paragraph" w:styleId="Ttulo2">
    <w:name w:val="heading 2"/>
    <w:basedOn w:val="Normal"/>
    <w:next w:val="Normal"/>
    <w:uiPriority w:val="9"/>
    <w:unhideWhenUsed/>
    <w:qFormat/>
    <w:rsid w:val="00676CDA"/>
    <w:pPr>
      <w:pBdr>
        <w:top w:val="nil"/>
        <w:left w:val="nil"/>
        <w:bottom w:val="nil"/>
        <w:right w:val="nil"/>
        <w:between w:val="nil"/>
      </w:pBdr>
      <w:spacing w:before="360" w:after="120"/>
      <w:outlineLvl w:val="1"/>
    </w:pPr>
    <w:rPr>
      <w:b/>
      <w:bCs/>
      <w:color w:val="000000"/>
      <w:sz w:val="28"/>
      <w:szCs w:val="28"/>
    </w:rPr>
  </w:style>
  <w:style w:type="paragraph" w:styleId="Ttulo3">
    <w:name w:val="heading 3"/>
    <w:basedOn w:val="Normal"/>
    <w:next w:val="Normal"/>
    <w:uiPriority w:val="9"/>
    <w:semiHidden/>
    <w:unhideWhenUsed/>
    <w:qFormat/>
    <w:rsid w:val="00676CDA"/>
    <w:pPr>
      <w:pBdr>
        <w:top w:val="nil"/>
        <w:left w:val="nil"/>
        <w:bottom w:val="nil"/>
        <w:right w:val="nil"/>
        <w:between w:val="nil"/>
      </w:pBdr>
      <w:outlineLvl w:val="2"/>
    </w:pPr>
    <w:rPr>
      <w:color w:val="1F4D78"/>
    </w:rPr>
  </w:style>
  <w:style w:type="paragraph" w:styleId="Ttulo4">
    <w:name w:val="heading 4"/>
    <w:basedOn w:val="Normal"/>
    <w:next w:val="Normal"/>
    <w:uiPriority w:val="9"/>
    <w:semiHidden/>
    <w:unhideWhenUsed/>
    <w:qFormat/>
    <w:rsid w:val="00676CDA"/>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rsid w:val="00676CDA"/>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rsid w:val="00676CDA"/>
    <w:pPr>
      <w:pBdr>
        <w:top w:val="nil"/>
        <w:left w:val="nil"/>
        <w:bottom w:val="nil"/>
        <w:right w:val="nil"/>
        <w:between w:val="nil"/>
      </w:pBdr>
      <w:outlineLvl w:val="5"/>
    </w:pPr>
    <w:rPr>
      <w:color w:val="1F4D7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676CDA"/>
    <w:tblPr>
      <w:tblCellMar>
        <w:top w:w="100" w:type="dxa"/>
        <w:left w:w="100" w:type="dxa"/>
        <w:bottom w:w="100" w:type="dxa"/>
        <w:right w:w="100" w:type="dxa"/>
      </w:tblCellMar>
    </w:tblPr>
  </w:style>
  <w:style w:type="paragraph" w:styleId="Ttulo">
    <w:name w:val="Title"/>
    <w:basedOn w:val="Normal"/>
    <w:next w:val="Normal"/>
    <w:uiPriority w:val="10"/>
    <w:qFormat/>
    <w:rsid w:val="00676CDA"/>
    <w:pPr>
      <w:pBdr>
        <w:top w:val="nil"/>
        <w:left w:val="nil"/>
        <w:bottom w:val="nil"/>
        <w:right w:val="nil"/>
        <w:between w:val="nil"/>
      </w:pBdr>
    </w:pPr>
    <w:rPr>
      <w:color w:val="000000"/>
      <w:sz w:val="56"/>
      <w:szCs w:val="56"/>
    </w:rPr>
  </w:style>
  <w:style w:type="table" w:customStyle="1" w:styleId="TableNormal0">
    <w:name w:val="TableNormal"/>
    <w:rsid w:val="00676CDA"/>
    <w:tblPr>
      <w:tblCellMar>
        <w:top w:w="100" w:type="dxa"/>
        <w:left w:w="100" w:type="dxa"/>
        <w:bottom w:w="100" w:type="dxa"/>
        <w:right w:w="100" w:type="dxa"/>
      </w:tblCellMar>
    </w:tblPr>
  </w:style>
  <w:style w:type="table" w:customStyle="1" w:styleId="TableNormal1">
    <w:name w:val="TableNormal"/>
    <w:rsid w:val="00676CDA"/>
    <w:tblPr>
      <w:tblCellMar>
        <w:top w:w="100" w:type="dxa"/>
        <w:left w:w="100" w:type="dxa"/>
        <w:bottom w:w="100" w:type="dxa"/>
        <w:right w:w="100" w:type="dxa"/>
      </w:tblCellMar>
    </w:tblPr>
  </w:style>
  <w:style w:type="table" w:customStyle="1" w:styleId="TableNormal2">
    <w:name w:val="TableNormal"/>
    <w:rsid w:val="00676CDA"/>
    <w:tblPr>
      <w:tblCellMar>
        <w:top w:w="100" w:type="dxa"/>
        <w:left w:w="100" w:type="dxa"/>
        <w:bottom w:w="100" w:type="dxa"/>
        <w:right w:w="100" w:type="dxa"/>
      </w:tblCellMar>
    </w:tblPr>
  </w:style>
  <w:style w:type="paragraph" w:customStyle="1" w:styleId="Forte1">
    <w:name w:val="Forte1"/>
    <w:qFormat/>
    <w:rsid w:val="00676CDA"/>
    <w:rPr>
      <w:b/>
      <w:bCs/>
    </w:rPr>
  </w:style>
  <w:style w:type="paragraph" w:styleId="PargrafodaLista">
    <w:name w:val="List Paragraph"/>
    <w:qFormat/>
    <w:rsid w:val="00676CDA"/>
  </w:style>
  <w:style w:type="character" w:styleId="Hyperlink">
    <w:name w:val="Hyperlink"/>
    <w:uiPriority w:val="99"/>
    <w:unhideWhenUsed/>
    <w:rsid w:val="00676CDA"/>
    <w:rPr>
      <w:color w:val="0563C1"/>
      <w:u w:val="single"/>
    </w:rPr>
  </w:style>
  <w:style w:type="character" w:styleId="Refdenotaderodap">
    <w:name w:val="footnote reference"/>
    <w:uiPriority w:val="99"/>
    <w:semiHidden/>
    <w:unhideWhenUsed/>
    <w:rsid w:val="00676CDA"/>
    <w:rPr>
      <w:vertAlign w:val="superscript"/>
    </w:rPr>
  </w:style>
  <w:style w:type="paragraph" w:styleId="Textodenotaderodap">
    <w:name w:val="footnote text"/>
    <w:link w:val="TextodenotaderodapChar"/>
    <w:uiPriority w:val="99"/>
    <w:semiHidden/>
    <w:unhideWhenUsed/>
    <w:rsid w:val="00676CDA"/>
    <w:rPr>
      <w:sz w:val="20"/>
      <w:szCs w:val="20"/>
    </w:rPr>
  </w:style>
  <w:style w:type="character" w:customStyle="1" w:styleId="TextodenotaderodapChar">
    <w:name w:val="Texto de nota de rodapé Char"/>
    <w:link w:val="Textodenotaderodap"/>
    <w:uiPriority w:val="99"/>
    <w:semiHidden/>
    <w:unhideWhenUsed/>
    <w:rsid w:val="00676CDA"/>
    <w:rPr>
      <w:sz w:val="20"/>
      <w:szCs w:val="20"/>
    </w:rPr>
  </w:style>
  <w:style w:type="character" w:styleId="Refdecomentrio">
    <w:name w:val="annotation reference"/>
    <w:basedOn w:val="Fontepargpadro"/>
    <w:uiPriority w:val="99"/>
    <w:semiHidden/>
    <w:unhideWhenUsed/>
    <w:rsid w:val="004C7EE3"/>
    <w:rPr>
      <w:sz w:val="16"/>
      <w:szCs w:val="16"/>
    </w:rPr>
  </w:style>
  <w:style w:type="paragraph" w:styleId="Textodecomentrio">
    <w:name w:val="annotation text"/>
    <w:basedOn w:val="Normal"/>
    <w:link w:val="TextodecomentrioChar"/>
    <w:uiPriority w:val="99"/>
    <w:unhideWhenUsed/>
    <w:rsid w:val="004C7EE3"/>
    <w:rPr>
      <w:sz w:val="20"/>
      <w:szCs w:val="20"/>
    </w:rPr>
  </w:style>
  <w:style w:type="character" w:customStyle="1" w:styleId="TextodecomentrioChar">
    <w:name w:val="Texto de comentário Char"/>
    <w:basedOn w:val="Fontepargpadro"/>
    <w:link w:val="Textodecomentrio"/>
    <w:uiPriority w:val="99"/>
    <w:rsid w:val="004C7EE3"/>
    <w:rPr>
      <w:sz w:val="20"/>
      <w:szCs w:val="20"/>
    </w:rPr>
  </w:style>
  <w:style w:type="paragraph" w:styleId="Assuntodocomentrio">
    <w:name w:val="annotation subject"/>
    <w:basedOn w:val="Textodecomentrio"/>
    <w:next w:val="Textodecomentrio"/>
    <w:link w:val="AssuntodocomentrioChar"/>
    <w:uiPriority w:val="99"/>
    <w:semiHidden/>
    <w:unhideWhenUsed/>
    <w:rsid w:val="004C7EE3"/>
    <w:rPr>
      <w:b/>
      <w:bCs/>
    </w:rPr>
  </w:style>
  <w:style w:type="character" w:customStyle="1" w:styleId="AssuntodocomentrioChar">
    <w:name w:val="Assunto do comentário Char"/>
    <w:basedOn w:val="TextodecomentrioChar"/>
    <w:link w:val="Assuntodocomentrio"/>
    <w:uiPriority w:val="99"/>
    <w:semiHidden/>
    <w:rsid w:val="004C7EE3"/>
    <w:rPr>
      <w:b/>
      <w:bCs/>
      <w:sz w:val="20"/>
      <w:szCs w:val="20"/>
    </w:rPr>
  </w:style>
  <w:style w:type="table" w:styleId="Tabelacomgrade">
    <w:name w:val="Table Grid"/>
    <w:basedOn w:val="Tabelanormal"/>
    <w:uiPriority w:val="39"/>
    <w:rsid w:val="004C7E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4C7EE3"/>
    <w:pPr>
      <w:tabs>
        <w:tab w:val="center" w:pos="4252"/>
        <w:tab w:val="right" w:pos="8504"/>
      </w:tabs>
    </w:pPr>
  </w:style>
  <w:style w:type="character" w:customStyle="1" w:styleId="RodapChar">
    <w:name w:val="Rodapé Char"/>
    <w:basedOn w:val="Fontepargpadro"/>
    <w:link w:val="Rodap"/>
    <w:uiPriority w:val="99"/>
    <w:rsid w:val="004C7EE3"/>
  </w:style>
  <w:style w:type="character" w:styleId="Nmerodepgina">
    <w:name w:val="page number"/>
    <w:basedOn w:val="Fontepargpadro"/>
    <w:uiPriority w:val="99"/>
    <w:semiHidden/>
    <w:unhideWhenUsed/>
    <w:rsid w:val="004C7EE3"/>
  </w:style>
  <w:style w:type="paragraph" w:styleId="Reviso">
    <w:name w:val="Revision"/>
    <w:hidden/>
    <w:uiPriority w:val="99"/>
    <w:semiHidden/>
    <w:rsid w:val="000421BC"/>
  </w:style>
  <w:style w:type="paragraph" w:styleId="NormalWeb">
    <w:name w:val="Normal (Web)"/>
    <w:basedOn w:val="Normal"/>
    <w:uiPriority w:val="99"/>
    <w:unhideWhenUsed/>
    <w:rsid w:val="00C25899"/>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4761C7"/>
    <w:rPr>
      <w:b/>
      <w:bCs/>
    </w:rPr>
  </w:style>
  <w:style w:type="character" w:styleId="nfase">
    <w:name w:val="Emphasis"/>
    <w:basedOn w:val="Fontepargpadro"/>
    <w:uiPriority w:val="20"/>
    <w:qFormat/>
    <w:rsid w:val="004761C7"/>
    <w:rPr>
      <w:i/>
      <w:iCs/>
    </w:rPr>
  </w:style>
  <w:style w:type="character" w:styleId="HiperlinkVisitado">
    <w:name w:val="FollowedHyperlink"/>
    <w:basedOn w:val="Fontepargpadro"/>
    <w:uiPriority w:val="99"/>
    <w:semiHidden/>
    <w:unhideWhenUsed/>
    <w:rsid w:val="00F53E5E"/>
    <w:rPr>
      <w:color w:val="96607D" w:themeColor="followedHyperlink"/>
      <w:u w:val="single"/>
    </w:rPr>
  </w:style>
  <w:style w:type="character" w:customStyle="1" w:styleId="whitespace-normal">
    <w:name w:val="whitespace-normal"/>
    <w:basedOn w:val="Fontepargpadro"/>
    <w:rsid w:val="00F53E5E"/>
  </w:style>
  <w:style w:type="character" w:customStyle="1" w:styleId="MenoPendente1">
    <w:name w:val="Menção Pendente1"/>
    <w:basedOn w:val="Fontepargpadro"/>
    <w:uiPriority w:val="99"/>
    <w:semiHidden/>
    <w:unhideWhenUsed/>
    <w:rsid w:val="004A37E6"/>
    <w:rPr>
      <w:color w:val="605E5C"/>
      <w:shd w:val="clear" w:color="auto" w:fill="E1DFDD"/>
    </w:rPr>
  </w:style>
  <w:style w:type="table" w:customStyle="1" w:styleId="a">
    <w:basedOn w:val="TableNormal2"/>
    <w:rsid w:val="00676CDA"/>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rsid w:val="00676CDA"/>
    <w:pPr>
      <w:keepNext/>
      <w:keepLines/>
      <w:spacing w:before="360" w:after="80"/>
    </w:pPr>
    <w:rPr>
      <w:rFonts w:ascii="Georgia" w:eastAsia="Georgia" w:hAnsi="Georgia" w:cs="Georgia"/>
      <w:i/>
      <w:iCs/>
      <w:color w:val="666666"/>
      <w:sz w:val="48"/>
      <w:szCs w:val="48"/>
    </w:rPr>
  </w:style>
  <w:style w:type="paragraph" w:styleId="Textodebalo">
    <w:name w:val="Balloon Text"/>
    <w:basedOn w:val="Normal"/>
    <w:link w:val="TextodebaloChar"/>
    <w:uiPriority w:val="99"/>
    <w:semiHidden/>
    <w:unhideWhenUsed/>
    <w:rsid w:val="00545A65"/>
    <w:rPr>
      <w:rFonts w:ascii="Tahoma" w:hAnsi="Tahoma" w:cs="Tahoma"/>
      <w:sz w:val="16"/>
      <w:szCs w:val="16"/>
    </w:rPr>
  </w:style>
  <w:style w:type="character" w:customStyle="1" w:styleId="TextodebaloChar">
    <w:name w:val="Texto de balão Char"/>
    <w:basedOn w:val="Fontepargpadro"/>
    <w:link w:val="Textodebalo"/>
    <w:uiPriority w:val="99"/>
    <w:semiHidden/>
    <w:rsid w:val="00545A65"/>
    <w:rPr>
      <w:rFonts w:ascii="Tahoma" w:hAnsi="Tahoma" w:cs="Tahoma"/>
      <w:sz w:val="16"/>
      <w:szCs w:val="16"/>
    </w:rPr>
  </w:style>
  <w:style w:type="paragraph" w:styleId="Cabealho">
    <w:name w:val="header"/>
    <w:basedOn w:val="Normal"/>
    <w:link w:val="CabealhoChar"/>
    <w:uiPriority w:val="99"/>
    <w:unhideWhenUsed/>
    <w:rsid w:val="00323A46"/>
    <w:pPr>
      <w:tabs>
        <w:tab w:val="center" w:pos="4252"/>
        <w:tab w:val="right" w:pos="8504"/>
      </w:tabs>
    </w:pPr>
  </w:style>
  <w:style w:type="character" w:customStyle="1" w:styleId="CabealhoChar">
    <w:name w:val="Cabeçalho Char"/>
    <w:basedOn w:val="Fontepargpadro"/>
    <w:link w:val="Cabealho"/>
    <w:uiPriority w:val="99"/>
    <w:rsid w:val="00323A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UUJpC6C9zwvgw4JiJoGXmwlQg==">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A0B23F9-20EF-43C4-A6C6-9A628C790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3100</Words>
  <Characters>16745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Maria Paula Twiaschor</cp:lastModifiedBy>
  <cp:revision>2</cp:revision>
  <dcterms:created xsi:type="dcterms:W3CDTF">2026-04-28T19:42:00Z</dcterms:created>
  <dcterms:modified xsi:type="dcterms:W3CDTF">2026-04-28T19:42:00Z</dcterms:modified>
</cp:coreProperties>
</file>