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E38E1" w14:textId="043857FA" w:rsidR="00C736C5" w:rsidRPr="006110C3" w:rsidRDefault="006110C3">
      <w:pPr>
        <w:pStyle w:val="Ttulo1"/>
        <w:spacing w:line="276" w:lineRule="auto"/>
        <w:jc w:val="center"/>
        <w:rPr>
          <w:rFonts w:ascii="Vale Sans" w:eastAsia="Times New Roman" w:hAnsi="Vale Sans" w:cs="Times New Roman"/>
          <w:i/>
          <w:iCs/>
          <w:color w:val="7030A0"/>
          <w:sz w:val="22"/>
          <w:szCs w:val="22"/>
        </w:rPr>
      </w:pPr>
      <w:r w:rsidRPr="006110C3">
        <w:rPr>
          <w:rFonts w:ascii="Vale Sans" w:hAnsi="Vale Sans"/>
          <w:noProof/>
          <w:sz w:val="22"/>
          <w:szCs w:val="22"/>
        </w:rPr>
        <w:drawing>
          <wp:anchor distT="0" distB="0" distL="114300" distR="114300" simplePos="0" relativeHeight="251661312" behindDoc="0" locked="0" layoutInCell="1" hidden="0" allowOverlap="1" wp14:anchorId="5E8E6CF3" wp14:editId="5B5B9DF1">
            <wp:simplePos x="0" y="0"/>
            <wp:positionH relativeFrom="column">
              <wp:posOffset>5210175</wp:posOffset>
            </wp:positionH>
            <wp:positionV relativeFrom="paragraph">
              <wp:posOffset>-657225</wp:posOffset>
            </wp:positionV>
            <wp:extent cx="942975" cy="534670"/>
            <wp:effectExtent l="0" t="0" r="0" b="0"/>
            <wp:wrapNone/>
            <wp:docPr id="1" name="image2.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ção gerada automaticamente"/>
                    <pic:cNvPicPr preferRelativeResize="0"/>
                  </pic:nvPicPr>
                  <pic:blipFill>
                    <a:blip r:embed="rId8"/>
                    <a:srcRect/>
                    <a:stretch>
                      <a:fillRect/>
                    </a:stretch>
                  </pic:blipFill>
                  <pic:spPr>
                    <a:xfrm>
                      <a:off x="0" y="0"/>
                      <a:ext cx="942975" cy="534670"/>
                    </a:xfrm>
                    <a:prstGeom prst="rect">
                      <a:avLst/>
                    </a:prstGeom>
                    <a:ln/>
                  </pic:spPr>
                </pic:pic>
              </a:graphicData>
            </a:graphic>
          </wp:anchor>
        </w:drawing>
      </w:r>
      <w:r w:rsidRPr="006110C3">
        <w:rPr>
          <w:rFonts w:ascii="Vale Sans" w:hAnsi="Vale Sans"/>
          <w:noProof/>
          <w:sz w:val="22"/>
          <w:szCs w:val="22"/>
        </w:rPr>
        <w:drawing>
          <wp:anchor distT="0" distB="0" distL="0" distR="0" simplePos="0" relativeHeight="251659264" behindDoc="1" locked="0" layoutInCell="1" hidden="0" allowOverlap="1" wp14:anchorId="1E13DCFD" wp14:editId="0CD3F2CD">
            <wp:simplePos x="0" y="0"/>
            <wp:positionH relativeFrom="column">
              <wp:posOffset>19050</wp:posOffset>
            </wp:positionH>
            <wp:positionV relativeFrom="paragraph">
              <wp:posOffset>-628650</wp:posOffset>
            </wp:positionV>
            <wp:extent cx="895350" cy="291465"/>
            <wp:effectExtent l="0" t="0" r="0" b="0"/>
            <wp:wrapNone/>
            <wp:docPr id="2" name="image1.png" descr="Text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Texto, Logotipo&#10;&#10;Descrição gerada automaticamente"/>
                    <pic:cNvPicPr preferRelativeResize="0"/>
                  </pic:nvPicPr>
                  <pic:blipFill>
                    <a:blip r:embed="rId9"/>
                    <a:srcRect/>
                    <a:stretch>
                      <a:fillRect/>
                    </a:stretch>
                  </pic:blipFill>
                  <pic:spPr>
                    <a:xfrm>
                      <a:off x="0" y="0"/>
                      <a:ext cx="895350" cy="291465"/>
                    </a:xfrm>
                    <a:prstGeom prst="rect">
                      <a:avLst/>
                    </a:prstGeom>
                    <a:ln/>
                  </pic:spPr>
                </pic:pic>
              </a:graphicData>
            </a:graphic>
          </wp:anchor>
        </w:drawing>
      </w:r>
      <w:r w:rsidR="00097F6D" w:rsidRPr="006110C3">
        <w:rPr>
          <w:rFonts w:ascii="Vale Sans" w:eastAsia="Times New Roman" w:hAnsi="Vale Sans" w:cs="Times New Roman"/>
          <w:i/>
          <w:iCs/>
          <w:color w:val="7030A0"/>
          <w:sz w:val="22"/>
          <w:szCs w:val="22"/>
        </w:rPr>
        <w:t>Torneios de Jogos Matemáticos Africanos e Indígenas</w:t>
      </w:r>
    </w:p>
    <w:p w14:paraId="5298CE87" w14:textId="77777777" w:rsidR="00C736C5" w:rsidRPr="006110C3" w:rsidRDefault="00097F6D">
      <w:pPr>
        <w:pStyle w:val="Ttulo2"/>
        <w:spacing w:line="276" w:lineRule="auto"/>
        <w:rPr>
          <w:rFonts w:ascii="Vale Sans" w:eastAsia="Times New Roman" w:hAnsi="Vale Sans" w:cs="Times New Roman"/>
          <w:color w:val="7030A0"/>
          <w:sz w:val="22"/>
          <w:szCs w:val="22"/>
        </w:rPr>
      </w:pPr>
      <w:r w:rsidRPr="006110C3">
        <w:rPr>
          <w:rFonts w:ascii="Vale Sans" w:eastAsia="Times New Roman" w:hAnsi="Vale Sans" w:cs="Times New Roman"/>
          <w:color w:val="7030A0"/>
          <w:sz w:val="22"/>
          <w:szCs w:val="22"/>
        </w:rPr>
        <w:t xml:space="preserve">O que é um </w:t>
      </w:r>
      <w:r w:rsidRPr="006110C3">
        <w:rPr>
          <w:rFonts w:ascii="Vale Sans" w:eastAsia="Times New Roman" w:hAnsi="Vale Sans" w:cs="Times New Roman"/>
          <w:i/>
          <w:iCs/>
          <w:color w:val="7030A0"/>
          <w:sz w:val="22"/>
          <w:szCs w:val="22"/>
        </w:rPr>
        <w:t>Torneio de Jogos Matemáticos Africanos e Indígenas</w:t>
      </w:r>
      <w:r w:rsidRPr="006110C3">
        <w:rPr>
          <w:rFonts w:ascii="Vale Sans" w:eastAsia="Times New Roman" w:hAnsi="Vale Sans" w:cs="Times New Roman"/>
          <w:color w:val="7030A0"/>
          <w:sz w:val="22"/>
          <w:szCs w:val="22"/>
        </w:rPr>
        <w:t xml:space="preserve">? </w:t>
      </w:r>
    </w:p>
    <w:p w14:paraId="4B37F320" w14:textId="77777777" w:rsidR="00C736C5" w:rsidRPr="006110C3" w:rsidRDefault="00C736C5">
      <w:pPr>
        <w:rPr>
          <w:rFonts w:ascii="Vale Sans" w:hAnsi="Vale Sans"/>
          <w:sz w:val="22"/>
          <w:szCs w:val="22"/>
        </w:rPr>
      </w:pPr>
    </w:p>
    <w:p w14:paraId="3C76E38C"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Os </w:t>
      </w:r>
      <w:r w:rsidRPr="006110C3">
        <w:rPr>
          <w:rFonts w:ascii="Vale Sans" w:eastAsia="Times New Roman" w:hAnsi="Vale Sans" w:cs="Times New Roman"/>
          <w:i/>
          <w:iCs/>
          <w:sz w:val="22"/>
          <w:szCs w:val="22"/>
        </w:rPr>
        <w:t>Torneios de Jogos Matemáticos Africanos e Indígenas</w:t>
      </w:r>
      <w:r w:rsidRPr="006110C3">
        <w:rPr>
          <w:rFonts w:ascii="Vale Sans" w:eastAsia="Times New Roman" w:hAnsi="Vale Sans" w:cs="Times New Roman"/>
          <w:sz w:val="22"/>
          <w:szCs w:val="22"/>
        </w:rPr>
        <w:t xml:space="preserve"> configuram-se como encontros periódicos em que a escola é organizada para receber as e os estudantes para jogar.</w:t>
      </w:r>
      <w:r w:rsidR="00AA6521" w:rsidRPr="006110C3">
        <w:rPr>
          <w:rFonts w:ascii="Vale Sans" w:eastAsia="Times New Roman" w:hAnsi="Vale Sans" w:cs="Times New Roman"/>
          <w:sz w:val="22"/>
          <w:szCs w:val="22"/>
        </w:rPr>
        <w:t xml:space="preserve"> </w:t>
      </w:r>
      <w:r w:rsidRPr="006110C3">
        <w:rPr>
          <w:rFonts w:ascii="Vale Sans" w:eastAsia="Times New Roman" w:hAnsi="Vale Sans" w:cs="Times New Roman"/>
          <w:sz w:val="22"/>
          <w:szCs w:val="22"/>
        </w:rPr>
        <w:t xml:space="preserve">Em diferentes espaços da escola, as e os estudantes são organizados individualmente ou por equipes (de acordo com a demanda das e dos estudantes e das definições didático-pedagógicas feitas pela equipe escolar) para disputar partidas de jogos matemáticos de origem africana ou indígena. Simultaneamente, são disputadas diversas partidas, seguindo as regras do torneio, até que sejam estabelecidas vencedoras e vencedores. Também podem acontecer torneios e equipes que contam com a participação de adultos, </w:t>
      </w:r>
      <w:bookmarkStart w:id="0" w:name="_GoBack"/>
      <w:bookmarkEnd w:id="0"/>
      <w:r w:rsidRPr="006110C3">
        <w:rPr>
          <w:rFonts w:ascii="Vale Sans" w:eastAsia="Times New Roman" w:hAnsi="Vale Sans" w:cs="Times New Roman"/>
          <w:sz w:val="22"/>
          <w:szCs w:val="22"/>
        </w:rPr>
        <w:t xml:space="preserve">sejam familiares ou responsáveis, além de outras pessoas da comunidade escolar. </w:t>
      </w:r>
    </w:p>
    <w:p w14:paraId="6F8CBB2B" w14:textId="5C93AE6C" w:rsidR="007F2CEC" w:rsidRPr="006110C3" w:rsidRDefault="007F2CEC" w:rsidP="007F2CEC">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Esses jogos que emergem de contextos sociais e culturais específicos, mobilizam práticas e formas de raciocínio, interação e organização que articulam estratégia, tomada de decisão e, em alguns casos, cooperação. Em competições dessa natureza, criam-se oportunidades para a troca de conhecimentos, o desenvolvimento da argumentação e a participação de diferentes estudantes, contribuindo para a construção coletiva de aprendizagens e para o reconhecimento de produções culturais e matemáticas de povos africanos e indígenas.</w:t>
      </w:r>
    </w:p>
    <w:p w14:paraId="18D5D852" w14:textId="35930AF3"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A implementação dos </w:t>
      </w:r>
      <w:r w:rsidRPr="006110C3">
        <w:rPr>
          <w:rFonts w:ascii="Vale Sans" w:eastAsia="Times New Roman" w:hAnsi="Vale Sans" w:cs="Times New Roman"/>
          <w:i/>
          <w:iCs/>
          <w:sz w:val="22"/>
          <w:szCs w:val="22"/>
        </w:rPr>
        <w:t xml:space="preserve">Torneios de Jogos Matemáticos Africanos e Indígenas </w:t>
      </w:r>
      <w:r w:rsidRPr="006110C3">
        <w:rPr>
          <w:rFonts w:ascii="Vale Sans" w:eastAsia="Times New Roman" w:hAnsi="Vale Sans" w:cs="Times New Roman"/>
          <w:sz w:val="22"/>
          <w:szCs w:val="22"/>
        </w:rPr>
        <w:t xml:space="preserve">como uma ação institucional </w:t>
      </w:r>
      <w:r w:rsidRPr="006110C3">
        <w:rPr>
          <w:rFonts w:ascii="Vale Sans" w:eastAsia="Times New Roman" w:hAnsi="Vale Sans" w:cs="Times New Roman"/>
          <w:color w:val="000000"/>
          <w:sz w:val="22"/>
          <w:szCs w:val="22"/>
        </w:rPr>
        <w:t>requer alguns processos de gestão</w:t>
      </w:r>
      <w:r w:rsidR="00AA6521" w:rsidRPr="006110C3">
        <w:rPr>
          <w:rFonts w:ascii="Vale Sans" w:eastAsia="Times New Roman" w:hAnsi="Vale Sans" w:cs="Times New Roman"/>
          <w:color w:val="000000"/>
          <w:sz w:val="22"/>
          <w:szCs w:val="22"/>
        </w:rPr>
        <w:t xml:space="preserve"> </w:t>
      </w:r>
      <w:r w:rsidRPr="006110C3">
        <w:rPr>
          <w:rFonts w:ascii="Vale Sans" w:eastAsia="Times New Roman" w:hAnsi="Vale Sans" w:cs="Times New Roman"/>
          <w:sz w:val="22"/>
          <w:szCs w:val="22"/>
        </w:rPr>
        <w:t xml:space="preserve">para que alcance resultados positivos. Esses processos contemplam aspectos organizacionais e o desenvolvimento de ações articuladas. Entre elas, destacam-se: a definição da equipe pedagógica envolvida; a previsão de recursos e materiais; o planejamento dos tempos e a organização dos </w:t>
      </w:r>
      <w:r w:rsidR="005D3312" w:rsidRPr="006110C3">
        <w:rPr>
          <w:rFonts w:ascii="Vale Sans" w:eastAsia="Times New Roman" w:hAnsi="Vale Sans" w:cs="Times New Roman"/>
          <w:sz w:val="22"/>
          <w:szCs w:val="22"/>
        </w:rPr>
        <w:t>espaços; o</w:t>
      </w:r>
      <w:r w:rsidRPr="006110C3">
        <w:rPr>
          <w:rFonts w:ascii="Vale Sans" w:eastAsia="Times New Roman" w:hAnsi="Vale Sans" w:cs="Times New Roman"/>
          <w:sz w:val="22"/>
          <w:szCs w:val="22"/>
        </w:rPr>
        <w:t xml:space="preserve"> estabelecimento das regras do torneio e eventuais simbolismos de premiação; as estratégias de divulgação internas e externas à comunidade escolar; o monitoramento e a avaliação das ações; além do registro do processo.</w:t>
      </w:r>
    </w:p>
    <w:p w14:paraId="5ED889CB" w14:textId="77777777" w:rsidR="00C736C5" w:rsidRPr="006110C3" w:rsidRDefault="00097F6D">
      <w:pPr>
        <w:pStyle w:val="Ttulo2"/>
        <w:spacing w:line="276" w:lineRule="auto"/>
        <w:rPr>
          <w:rFonts w:ascii="Vale Sans" w:eastAsia="Times New Roman" w:hAnsi="Vale Sans" w:cs="Times New Roman"/>
          <w:color w:val="7030A0"/>
          <w:sz w:val="22"/>
          <w:szCs w:val="22"/>
        </w:rPr>
      </w:pPr>
      <w:r w:rsidRPr="006110C3">
        <w:rPr>
          <w:rFonts w:ascii="Vale Sans" w:eastAsia="Times New Roman" w:hAnsi="Vale Sans" w:cs="Times New Roman"/>
          <w:color w:val="7030A0"/>
          <w:sz w:val="22"/>
          <w:szCs w:val="22"/>
        </w:rPr>
        <w:t>Por que desenvolver esta ação institucional?</w:t>
      </w:r>
    </w:p>
    <w:p w14:paraId="342B1FF1" w14:textId="77777777" w:rsidR="00C736C5" w:rsidRPr="006110C3" w:rsidRDefault="00C736C5">
      <w:pPr>
        <w:rPr>
          <w:rFonts w:ascii="Vale Sans" w:hAnsi="Vale Sans"/>
          <w:sz w:val="22"/>
          <w:szCs w:val="22"/>
        </w:rPr>
      </w:pPr>
    </w:p>
    <w:p w14:paraId="7575294E" w14:textId="77777777" w:rsidR="00C736C5" w:rsidRPr="006110C3" w:rsidRDefault="00097F6D">
      <w:pPr>
        <w:pBdr>
          <w:top w:val="nil"/>
          <w:left w:val="nil"/>
          <w:bottom w:val="nil"/>
          <w:right w:val="nil"/>
          <w:between w:val="nil"/>
        </w:pBdr>
        <w:spacing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Esta ação apresenta um contexto privilegiado e intencional para a efetivação das Leis nº 10.639/2003 e nº 11.645/2008, que instituem a obrigatoriedade do estudo da história e cultura afro-brasileira, africana e indígena na educação básica brasileira.  </w:t>
      </w:r>
    </w:p>
    <w:p w14:paraId="2ABE7D7D" w14:textId="77777777" w:rsidR="00C736C5" w:rsidRPr="006110C3" w:rsidRDefault="00097F6D">
      <w:pPr>
        <w:pBdr>
          <w:top w:val="nil"/>
          <w:left w:val="nil"/>
          <w:bottom w:val="nil"/>
          <w:right w:val="nil"/>
          <w:between w:val="nil"/>
        </w:pBdr>
        <w:spacing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A seleção e vivência de jogos de origem africana, afro-brasileira e indígena, nesse sentido, não apenas contribuem para descolonizar o currículo e evidenciar a autoria intelectual desses povos na construção do conhecimento matemático, como também instauram uma perspectiva de  transversalidade ao articular saberes, culturas e áreas do conhecimento em uma mesma  ação institucional ampliando o repertório das e dos estudantes, combatendo o racismo epistêmico e promovendo o respeito às diversidades. </w:t>
      </w:r>
    </w:p>
    <w:p w14:paraId="68E0EA77" w14:textId="77777777" w:rsidR="00C736C5" w:rsidRPr="006110C3" w:rsidRDefault="00C736C5">
      <w:pPr>
        <w:spacing w:line="276" w:lineRule="auto"/>
        <w:rPr>
          <w:rFonts w:ascii="Vale Sans" w:eastAsia="Times New Roman" w:hAnsi="Vale Sans" w:cs="Times New Roman"/>
          <w:sz w:val="22"/>
          <w:szCs w:val="22"/>
        </w:rPr>
      </w:pPr>
    </w:p>
    <w:p w14:paraId="178FD111" w14:textId="77777777" w:rsidR="00C736C5" w:rsidRPr="006110C3" w:rsidRDefault="00097F6D">
      <w:pPr>
        <w:spacing w:line="276" w:lineRule="auto"/>
        <w:rPr>
          <w:rFonts w:ascii="Vale Sans" w:eastAsia="Times New Roman" w:hAnsi="Vale Sans" w:cs="Times New Roman"/>
          <w:i/>
          <w:iCs/>
          <w:sz w:val="22"/>
          <w:szCs w:val="22"/>
        </w:rPr>
      </w:pPr>
      <w:r w:rsidRPr="006110C3">
        <w:rPr>
          <w:rFonts w:ascii="Vale Sans" w:eastAsia="Times New Roman" w:hAnsi="Vale Sans" w:cs="Times New Roman"/>
          <w:sz w:val="22"/>
          <w:szCs w:val="22"/>
        </w:rPr>
        <w:t xml:space="preserve">Os objetivos que norteiam o desenvolvimento dos </w:t>
      </w:r>
      <w:r w:rsidRPr="006110C3">
        <w:rPr>
          <w:rFonts w:ascii="Vale Sans" w:eastAsia="Times New Roman" w:hAnsi="Vale Sans" w:cs="Times New Roman"/>
          <w:i/>
          <w:iCs/>
          <w:sz w:val="22"/>
          <w:szCs w:val="22"/>
        </w:rPr>
        <w:t>Torneios de Jogos Matemáticos Africanos e Indígenas</w:t>
      </w:r>
      <w:r w:rsidRPr="006110C3">
        <w:rPr>
          <w:rFonts w:ascii="Vale Sans" w:eastAsia="Times New Roman" w:hAnsi="Vale Sans" w:cs="Times New Roman"/>
          <w:sz w:val="22"/>
          <w:szCs w:val="22"/>
        </w:rPr>
        <w:t xml:space="preserve"> são:  </w:t>
      </w:r>
    </w:p>
    <w:p w14:paraId="035439FE" w14:textId="77777777" w:rsidR="00C736C5" w:rsidRPr="006110C3" w:rsidRDefault="00C736C5">
      <w:pPr>
        <w:rPr>
          <w:rFonts w:ascii="Vale Sans" w:eastAsia="Times New Roman" w:hAnsi="Vale Sans" w:cs="Times New Roman"/>
          <w:sz w:val="22"/>
          <w:szCs w:val="22"/>
        </w:rPr>
      </w:pPr>
    </w:p>
    <w:p w14:paraId="51417D52" w14:textId="77777777" w:rsidR="00C736C5" w:rsidRPr="006110C3" w:rsidRDefault="00097F6D">
      <w:pPr>
        <w:numPr>
          <w:ilvl w:val="0"/>
          <w:numId w:val="1"/>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Mobilizar educadores para o uso pedagógico de jogos de origem africana e indígena para a implementação das Leis  10.639/03 e 11.645/08 no contexto da Educação Matemática.  </w:t>
      </w:r>
    </w:p>
    <w:p w14:paraId="58718789" w14:textId="35165A4D" w:rsidR="00C736C5" w:rsidRPr="006110C3" w:rsidRDefault="00097F6D">
      <w:pPr>
        <w:numPr>
          <w:ilvl w:val="0"/>
          <w:numId w:val="1"/>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Ampliar o repertório histórico, social e cultural das e dos estudantes na perspectiva das relações </w:t>
      </w:r>
      <w:r w:rsidR="00192077" w:rsidRPr="006110C3">
        <w:rPr>
          <w:rFonts w:ascii="Vale Sans" w:eastAsia="Times New Roman" w:hAnsi="Vale Sans" w:cs="Times New Roman"/>
          <w:sz w:val="22"/>
          <w:szCs w:val="22"/>
        </w:rPr>
        <w:t>étnico-raciais</w:t>
      </w:r>
      <w:r w:rsidRPr="006110C3">
        <w:rPr>
          <w:rFonts w:ascii="Vale Sans" w:eastAsia="Times New Roman" w:hAnsi="Vale Sans" w:cs="Times New Roman"/>
          <w:sz w:val="22"/>
          <w:szCs w:val="22"/>
        </w:rPr>
        <w:t xml:space="preserve">, combatendo o racismo epistêmico e promovendo o respeito às diversidades. </w:t>
      </w:r>
    </w:p>
    <w:p w14:paraId="16696DF6" w14:textId="77777777" w:rsidR="00C736C5" w:rsidRPr="006110C3" w:rsidRDefault="00097F6D">
      <w:pPr>
        <w:numPr>
          <w:ilvl w:val="0"/>
          <w:numId w:val="1"/>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lastRenderedPageBreak/>
        <w:t xml:space="preserve">Contribuir para a ampliação dos conhecimentos matemáticos das e dos estudantes com base nas interações, no desenvolvimento do pensamento estratégico e na capacidade de formular e testar hipóteses. </w:t>
      </w:r>
    </w:p>
    <w:p w14:paraId="65AC2C04" w14:textId="77777777" w:rsidR="00C736C5" w:rsidRPr="006110C3" w:rsidRDefault="00C736C5">
      <w:pPr>
        <w:spacing w:after="200" w:line="276" w:lineRule="auto"/>
        <w:jc w:val="both"/>
        <w:rPr>
          <w:rFonts w:ascii="Vale Sans" w:eastAsia="Times New Roman" w:hAnsi="Vale Sans" w:cs="Times New Roman"/>
          <w:sz w:val="22"/>
          <w:szCs w:val="22"/>
        </w:rPr>
      </w:pPr>
    </w:p>
    <w:p w14:paraId="19217165"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Ao participar dessa ação, a estudante ou o estudante terá a oportunidade de: </w:t>
      </w:r>
    </w:p>
    <w:p w14:paraId="3307DE4C" w14:textId="77777777" w:rsidR="00C736C5" w:rsidRPr="006110C3" w:rsidRDefault="00097F6D">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Desenvolver a cooperação, exercitar sua concentração, aprender a reconhecer suas conquistas e a aceitar perdas e respeitar regras;</w:t>
      </w:r>
    </w:p>
    <w:p w14:paraId="4FE7E2B3" w14:textId="77777777" w:rsidR="00C736C5" w:rsidRPr="006110C3" w:rsidRDefault="00097F6D">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A</w:t>
      </w:r>
      <w:r w:rsidRPr="006110C3">
        <w:rPr>
          <w:rFonts w:ascii="Vale Sans" w:eastAsia="Times New Roman" w:hAnsi="Vale Sans" w:cs="Times New Roman"/>
          <w:color w:val="000000"/>
          <w:sz w:val="22"/>
          <w:szCs w:val="22"/>
        </w:rPr>
        <w:t>propriar-se de (ou aprimorar) procedimentos matemáticos e estratégicos relacionados a</w:t>
      </w:r>
      <w:r w:rsidRPr="006110C3">
        <w:rPr>
          <w:rFonts w:ascii="Vale Sans" w:eastAsia="Times New Roman" w:hAnsi="Vale Sans" w:cs="Times New Roman"/>
          <w:sz w:val="22"/>
          <w:szCs w:val="22"/>
        </w:rPr>
        <w:t>os</w:t>
      </w:r>
      <w:r w:rsidRPr="006110C3">
        <w:rPr>
          <w:rFonts w:ascii="Vale Sans" w:eastAsia="Times New Roman" w:hAnsi="Vale Sans" w:cs="Times New Roman"/>
          <w:color w:val="000000"/>
          <w:sz w:val="22"/>
          <w:szCs w:val="22"/>
        </w:rPr>
        <w:t xml:space="preserve"> jogos; </w:t>
      </w:r>
    </w:p>
    <w:p w14:paraId="0DF0C5BF" w14:textId="77777777" w:rsidR="00C736C5" w:rsidRPr="006110C3" w:rsidRDefault="00097F6D">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Interagir com educadores e colegas de diferentes turmas e anos escolares; </w:t>
      </w:r>
    </w:p>
    <w:p w14:paraId="68DEE642" w14:textId="77777777" w:rsidR="00C736C5" w:rsidRPr="006110C3" w:rsidRDefault="00097F6D">
      <w:pPr>
        <w:numPr>
          <w:ilvl w:val="0"/>
          <w:numId w:val="1"/>
        </w:numPr>
        <w:spacing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Ampliar o repertório cultural sobre a história e as origens plurais da matemática.</w:t>
      </w:r>
    </w:p>
    <w:p w14:paraId="4A3462D1" w14:textId="77777777" w:rsidR="00C736C5" w:rsidRPr="006110C3" w:rsidRDefault="00C736C5">
      <w:pPr>
        <w:spacing w:line="276" w:lineRule="auto"/>
        <w:rPr>
          <w:rFonts w:ascii="Vale Sans" w:eastAsia="Times New Roman" w:hAnsi="Vale Sans" w:cs="Times New Roman"/>
          <w:sz w:val="22"/>
          <w:szCs w:val="22"/>
        </w:rPr>
      </w:pPr>
    </w:p>
    <w:p w14:paraId="56BFDAE5"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Todos esses saberes são construídos e aprofundados em contextos sociais como os torneios de jogos, em que as e os estudantes participam democraticamente.</w:t>
      </w:r>
    </w:p>
    <w:p w14:paraId="193D5D68"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As diferentes formas de interação promovidas pelos jogos matemáticos são centrais para a construção de conhecimentos matemáticos. É na troca entre pares que o pensamento matemático se torna objeto de reflexão, ganhando visibilidade e sentido. Assim, ao instaurarem desafios compartilhados e regras comuns que exigem a formulação de estratégias, a argumentação, a validação e a tomada de decisões, os jogos caracterizam o "fazer matemática" como uma prática intelectual, social e coletiva de produção de conhecimentos e sentidos.</w:t>
      </w:r>
    </w:p>
    <w:p w14:paraId="62352CEE" w14:textId="77777777" w:rsidR="00C736C5" w:rsidRPr="006110C3" w:rsidRDefault="00097F6D">
      <w:pPr>
        <w:pStyle w:val="Ttulo2"/>
        <w:spacing w:line="276" w:lineRule="auto"/>
        <w:rPr>
          <w:rFonts w:ascii="Vale Sans" w:eastAsia="Times New Roman" w:hAnsi="Vale Sans" w:cs="Times New Roman"/>
          <w:color w:val="7030A0"/>
          <w:sz w:val="22"/>
          <w:szCs w:val="22"/>
        </w:rPr>
      </w:pPr>
      <w:r w:rsidRPr="006110C3">
        <w:rPr>
          <w:rFonts w:ascii="Vale Sans" w:eastAsia="Times New Roman" w:hAnsi="Vale Sans" w:cs="Times New Roman"/>
          <w:color w:val="7030A0"/>
          <w:sz w:val="22"/>
          <w:szCs w:val="22"/>
        </w:rPr>
        <w:t>Quem participa?</w:t>
      </w:r>
    </w:p>
    <w:p w14:paraId="2D09919C" w14:textId="77777777" w:rsidR="00C736C5" w:rsidRPr="006110C3" w:rsidRDefault="00097F6D">
      <w:pPr>
        <w:spacing w:after="8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u w:val="single"/>
        </w:rPr>
        <w:t>Estudantes</w:t>
      </w:r>
    </w:p>
    <w:p w14:paraId="6323DDC5" w14:textId="04FAC854"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i/>
          <w:iCs/>
          <w:sz w:val="22"/>
          <w:szCs w:val="22"/>
        </w:rPr>
        <w:t xml:space="preserve">Torneios de Jogos Matemáticos Africanos e Indígenas </w:t>
      </w:r>
      <w:r w:rsidRPr="006110C3">
        <w:rPr>
          <w:rFonts w:ascii="Vale Sans" w:eastAsia="Times New Roman" w:hAnsi="Vale Sans" w:cs="Times New Roman"/>
          <w:sz w:val="22"/>
          <w:szCs w:val="22"/>
        </w:rPr>
        <w:t>são pensados, em primeiro lugar, para as e os estudantes da escola. A ação é especialmente potente quando reúne estudantes de turmas e anos escolares diferentes, pois cria oportunidades únicas de interação, troca de estratégias e aprendizagem mútua. A diversidade de experiências entre estudantes também envolve diferentes repertórios culturais, que podem ser mobilizados nas interações, contribuindo para a valorização das identidades socioculturais.</w:t>
      </w:r>
    </w:p>
    <w:p w14:paraId="71FFAF12" w14:textId="77777777" w:rsidR="00C736C5" w:rsidRPr="006110C3" w:rsidRDefault="00097F6D">
      <w:pPr>
        <w:spacing w:after="8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u w:val="single"/>
        </w:rPr>
        <w:t>Familiares e responsáveis</w:t>
      </w:r>
    </w:p>
    <w:p w14:paraId="78EC43F1" w14:textId="77777777" w:rsidR="00C736C5" w:rsidRPr="006110C3" w:rsidRDefault="00097F6D">
      <w:pPr>
        <w:spacing w:after="8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A participação de famílias e responsáveis nos torneios pode ser muito significativa, pois as e os estudantes se sentem valorizados ao compartilhar seus saberes matemáticos, enquanto familiares passam a compreender melhor a proposta pedagógica da escola, o papel dos jogos nos processos de ensino e de aprendizagem e a importância de uma abordagem transversal e interdisciplinar. Essa participação também favorece a valorização dos repertórios culturais da comunidade, fortalecendo o reconhecimento de saberes diversos que contribuem para um clima escolar respeitoso. </w:t>
      </w:r>
    </w:p>
    <w:p w14:paraId="1AF75EE0" w14:textId="77777777" w:rsidR="00C736C5" w:rsidRPr="006110C3" w:rsidRDefault="00097F6D">
      <w:pPr>
        <w:spacing w:after="8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u w:val="single"/>
        </w:rPr>
        <w:t>Outras pessoas da comunidade escolar</w:t>
      </w:r>
    </w:p>
    <w:p w14:paraId="1EFF87A0"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Funcionários, estagiários, outros adultos da comunidade e até mesmo ex-estudantes da unidade escolar também podem ser convidados a participar como mediadores ou jogadores, favorecendo trocas e vínculos de diferentes naturezas. </w:t>
      </w:r>
    </w:p>
    <w:p w14:paraId="4C02CD35" w14:textId="77777777" w:rsidR="00C736C5" w:rsidRPr="006110C3" w:rsidRDefault="00097F6D">
      <w:pPr>
        <w:pStyle w:val="Ttulo2"/>
        <w:spacing w:line="276" w:lineRule="auto"/>
        <w:rPr>
          <w:rFonts w:ascii="Vale Sans" w:eastAsia="Times New Roman" w:hAnsi="Vale Sans" w:cs="Times New Roman"/>
          <w:color w:val="7030A0"/>
          <w:sz w:val="22"/>
          <w:szCs w:val="22"/>
        </w:rPr>
      </w:pPr>
      <w:r w:rsidRPr="006110C3">
        <w:rPr>
          <w:rFonts w:ascii="Vale Sans" w:eastAsia="Times New Roman" w:hAnsi="Vale Sans" w:cs="Times New Roman"/>
          <w:color w:val="7030A0"/>
          <w:sz w:val="22"/>
          <w:szCs w:val="22"/>
        </w:rPr>
        <w:t>Como planejar, implementar, acompanhar e avaliar?</w:t>
      </w:r>
    </w:p>
    <w:p w14:paraId="22873A0E" w14:textId="77777777" w:rsidR="00C736C5" w:rsidRPr="006110C3" w:rsidRDefault="00097F6D">
      <w:pPr>
        <w:spacing w:after="200" w:line="276" w:lineRule="auto"/>
        <w:jc w:val="both"/>
        <w:rPr>
          <w:rFonts w:ascii="Vale Sans" w:eastAsia="Times New Roman" w:hAnsi="Vale Sans" w:cs="Times New Roman"/>
          <w:color w:val="000000"/>
          <w:sz w:val="22"/>
          <w:szCs w:val="22"/>
          <w:highlight w:val="white"/>
        </w:rPr>
      </w:pPr>
      <w:r w:rsidRPr="006110C3">
        <w:rPr>
          <w:rFonts w:ascii="Vale Sans" w:eastAsia="Times New Roman" w:hAnsi="Vale Sans" w:cs="Times New Roman"/>
          <w:sz w:val="22"/>
          <w:szCs w:val="22"/>
          <w:highlight w:val="white"/>
        </w:rPr>
        <w:lastRenderedPageBreak/>
        <w:t xml:space="preserve">A seguir, são detalhadas as principais dimensões que a equipe gestora deve considerar </w:t>
      </w:r>
      <w:r w:rsidRPr="006110C3">
        <w:rPr>
          <w:rFonts w:ascii="Vale Sans" w:eastAsia="Times New Roman" w:hAnsi="Vale Sans" w:cs="Times New Roman"/>
          <w:color w:val="000000"/>
          <w:sz w:val="22"/>
          <w:szCs w:val="22"/>
          <w:highlight w:val="white"/>
        </w:rPr>
        <w:t xml:space="preserve">para que </w:t>
      </w:r>
      <w:r w:rsidRPr="006110C3">
        <w:rPr>
          <w:rFonts w:ascii="Vale Sans" w:eastAsia="Times New Roman" w:hAnsi="Vale Sans" w:cs="Times New Roman"/>
          <w:sz w:val="22"/>
          <w:szCs w:val="22"/>
          <w:highlight w:val="white"/>
        </w:rPr>
        <w:t xml:space="preserve">os torneios ocorram de </w:t>
      </w:r>
      <w:r w:rsidRPr="006110C3">
        <w:rPr>
          <w:rFonts w:ascii="Vale Sans" w:eastAsia="Times New Roman" w:hAnsi="Vale Sans" w:cs="Times New Roman"/>
          <w:color w:val="000000"/>
          <w:sz w:val="22"/>
          <w:szCs w:val="22"/>
          <w:highlight w:val="white"/>
        </w:rPr>
        <w:t>forma articulada, envolvente e com qualidade.</w:t>
      </w:r>
    </w:p>
    <w:p w14:paraId="38CAEFB9" w14:textId="77777777" w:rsidR="00C736C5" w:rsidRPr="006110C3" w:rsidRDefault="00097F6D">
      <w:pPr>
        <w:spacing w:before="240" w:after="80" w:line="276" w:lineRule="auto"/>
        <w:rPr>
          <w:rFonts w:ascii="Vale Sans" w:eastAsia="Times New Roman" w:hAnsi="Vale Sans" w:cs="Times New Roman"/>
          <w:b/>
          <w:bCs/>
          <w:sz w:val="22"/>
          <w:szCs w:val="22"/>
        </w:rPr>
      </w:pPr>
      <w:r w:rsidRPr="006110C3">
        <w:rPr>
          <w:rFonts w:ascii="Vale Sans" w:eastAsia="Times New Roman" w:hAnsi="Vale Sans" w:cs="Times New Roman"/>
          <w:b/>
          <w:bCs/>
          <w:sz w:val="22"/>
          <w:szCs w:val="22"/>
        </w:rPr>
        <w:t>Mobilizar professoras, professores, estudantes e demais pessoas da comunidade escolar</w:t>
      </w:r>
    </w:p>
    <w:p w14:paraId="5C5B4E5E"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Mobilizar estudantes, professoras e professores para participar dos </w:t>
      </w:r>
      <w:r w:rsidRPr="006110C3">
        <w:rPr>
          <w:rFonts w:ascii="Vale Sans" w:eastAsia="Times New Roman" w:hAnsi="Vale Sans" w:cs="Times New Roman"/>
          <w:i/>
          <w:iCs/>
          <w:sz w:val="22"/>
          <w:szCs w:val="22"/>
        </w:rPr>
        <w:t>Torneios de Jogos Matemáticos Africanos e Indígenas</w:t>
      </w:r>
      <w:r w:rsidRPr="006110C3">
        <w:rPr>
          <w:rFonts w:ascii="Vale Sans" w:eastAsia="Times New Roman" w:hAnsi="Vale Sans" w:cs="Times New Roman"/>
          <w:sz w:val="22"/>
          <w:szCs w:val="22"/>
        </w:rPr>
        <w:t xml:space="preserve"> envolve estratégias de engajamento em torno do prazer de aprender matemática entre pares, de participar de discussões sobre raciocínio estratégico, de ser desafiado e, sobretudo, de estar diante da possibilidade de vivenciar, por meio de jogos, tradições de diferentes povos africanos e indígenas. Os próprios estudantes podem apoiar na mobilização de outros estudantes e membros da comunidade, a partir das experiências que já tiverem construído com os jogos nas aulas regulares.</w:t>
      </w:r>
    </w:p>
    <w:p w14:paraId="35DA54E6" w14:textId="77777777" w:rsidR="00C736C5" w:rsidRPr="006110C3" w:rsidRDefault="00097F6D">
      <w:pPr>
        <w:spacing w:after="80" w:line="276" w:lineRule="auto"/>
        <w:jc w:val="both"/>
        <w:rPr>
          <w:rFonts w:ascii="Vale Sans" w:eastAsia="Times New Roman" w:hAnsi="Vale Sans" w:cs="Times New Roman"/>
          <w:sz w:val="22"/>
          <w:szCs w:val="22"/>
          <w:u w:val="single"/>
        </w:rPr>
      </w:pPr>
      <w:r w:rsidRPr="006110C3">
        <w:rPr>
          <w:rFonts w:ascii="Vale Sans" w:eastAsia="Times New Roman" w:hAnsi="Vale Sans" w:cs="Times New Roman"/>
          <w:sz w:val="22"/>
          <w:szCs w:val="22"/>
          <w:u w:val="single"/>
        </w:rPr>
        <w:t>Equipe escolar (docentes e demais educadores)</w:t>
      </w:r>
    </w:p>
    <w:p w14:paraId="13F7D2D9"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É importante que a mobilização da equipe escolar para a realização dessa ação institucional seja em torno de alguns aspectos centrais: </w:t>
      </w:r>
    </w:p>
    <w:p w14:paraId="256099C3" w14:textId="77777777" w:rsidR="00C736C5" w:rsidRPr="006110C3" w:rsidRDefault="00097F6D">
      <w:pPr>
        <w:numPr>
          <w:ilvl w:val="0"/>
          <w:numId w:val="4"/>
        </w:numPr>
        <w:spacing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Do compromisso e responsabilidade de todas e todos em torno da formação matemática das e dos estudantes;</w:t>
      </w:r>
    </w:p>
    <w:p w14:paraId="05F799E5" w14:textId="77777777" w:rsidR="00C736C5" w:rsidRPr="006110C3" w:rsidRDefault="00097F6D">
      <w:pPr>
        <w:numPr>
          <w:ilvl w:val="0"/>
          <w:numId w:val="4"/>
        </w:numPr>
        <w:spacing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Do reconhecimento do continente africano como berço da humanidade e território de diversas descobertas e invenções que marcaram o desenvolvimento humano, como a Matemática. </w:t>
      </w:r>
    </w:p>
    <w:p w14:paraId="06D7A7AF" w14:textId="77777777" w:rsidR="00C736C5" w:rsidRPr="006110C3" w:rsidRDefault="00097F6D">
      <w:pPr>
        <w:numPr>
          <w:ilvl w:val="0"/>
          <w:numId w:val="4"/>
        </w:numPr>
        <w:spacing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Da importância dos povos originários e da cultura africana para a formação social e cultural do Brasil;</w:t>
      </w:r>
    </w:p>
    <w:p w14:paraId="1A488E9D" w14:textId="77777777" w:rsidR="00C736C5" w:rsidRPr="006110C3" w:rsidRDefault="00097F6D">
      <w:pPr>
        <w:numPr>
          <w:ilvl w:val="0"/>
          <w:numId w:val="4"/>
        </w:num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Do cumprimento das Leis nº 10.639/2003 e nº 11.645/2008 com intencionalidade e objetivos de aprendizagem definidos e relacionados intrinsecamente à Matemática. </w:t>
      </w:r>
    </w:p>
    <w:p w14:paraId="6C93CCB0" w14:textId="77777777" w:rsidR="00E416DB" w:rsidRPr="006110C3" w:rsidRDefault="00097F6D" w:rsidP="00E416DB">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Com a equipe docente, recomendamos que sejam realizadas reuniões formativas com o objetivo de:</w:t>
      </w:r>
    </w:p>
    <w:p w14:paraId="7D2069DB" w14:textId="77777777" w:rsidR="00C736C5" w:rsidRPr="006110C3" w:rsidRDefault="00097F6D">
      <w:pPr>
        <w:numPr>
          <w:ilvl w:val="0"/>
          <w:numId w:val="3"/>
        </w:numPr>
        <w:spacing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Identificar como cada profissional pode contribuir para o planejamento e realização da ação de forma articulada às propostas curriculares de Matemática; </w:t>
      </w:r>
    </w:p>
    <w:p w14:paraId="5F89E261" w14:textId="77777777" w:rsidR="00C736C5" w:rsidRPr="006110C3" w:rsidRDefault="00097F6D">
      <w:pPr>
        <w:numPr>
          <w:ilvl w:val="0"/>
          <w:numId w:val="3"/>
        </w:numPr>
        <w:spacing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Refletir sobre o papel docente na mediação de jogos e, de modo particular, na mediação de jogos de origem africana e indígena; </w:t>
      </w:r>
    </w:p>
    <w:p w14:paraId="47BE8BC3" w14:textId="77777777" w:rsidR="00C736C5" w:rsidRPr="006110C3" w:rsidRDefault="00097F6D">
      <w:pPr>
        <w:numPr>
          <w:ilvl w:val="0"/>
          <w:numId w:val="3"/>
        </w:numPr>
        <w:spacing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Explorar e jogar os jogos disponíveis, buscando analisá-los sobre a ótica do desenvolvimento de conhecimentos matemáticos, sem folclorizá-los ou tratá-los apenas como recursos representativos. </w:t>
      </w:r>
    </w:p>
    <w:p w14:paraId="7404A096" w14:textId="77777777" w:rsidR="00C736C5" w:rsidRPr="006110C3" w:rsidRDefault="00097F6D">
      <w:pPr>
        <w:numPr>
          <w:ilvl w:val="0"/>
          <w:numId w:val="3"/>
        </w:numPr>
        <w:spacing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Construir princípios importantes para a mediação dos jogos nas aulas de Matemática (que antecedem os dias de torneio), cuidando da valorização de todas e todos, especialmente meninas e mulheres, pessoas negras e indígenas, que foram historicamente afastados da matemática, garantindo um ambiente seguro e livre de discriminação;</w:t>
      </w:r>
    </w:p>
    <w:p w14:paraId="70919825" w14:textId="77777777" w:rsidR="00C736C5" w:rsidRPr="006110C3" w:rsidRDefault="00097F6D">
      <w:pPr>
        <w:numPr>
          <w:ilvl w:val="0"/>
          <w:numId w:val="3"/>
        </w:num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Definir coletivamente as regras dos torneios e as menções honrosas que serão entregues como premiação. </w:t>
      </w:r>
    </w:p>
    <w:p w14:paraId="1C86B4CF" w14:textId="3C6FDABA"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Sem esse processo formativo, é grande o risco de que os jogos matemáticos de origem africana ou indígena </w:t>
      </w:r>
      <w:r w:rsidR="00182975" w:rsidRPr="006110C3">
        <w:rPr>
          <w:rFonts w:ascii="Vale Sans" w:eastAsia="Times New Roman" w:hAnsi="Vale Sans" w:cs="Times New Roman"/>
          <w:sz w:val="22"/>
          <w:szCs w:val="22"/>
        </w:rPr>
        <w:t>sejam</w:t>
      </w:r>
      <w:r w:rsidRPr="006110C3">
        <w:rPr>
          <w:rFonts w:ascii="Vale Sans" w:eastAsia="Times New Roman" w:hAnsi="Vale Sans" w:cs="Times New Roman"/>
          <w:sz w:val="22"/>
          <w:szCs w:val="22"/>
        </w:rPr>
        <w:t xml:space="preserve"> abordados e/ou vistos </w:t>
      </w:r>
      <w:r w:rsidR="00182975" w:rsidRPr="006110C3">
        <w:rPr>
          <w:rFonts w:ascii="Vale Sans" w:eastAsia="Times New Roman" w:hAnsi="Vale Sans" w:cs="Times New Roman"/>
          <w:sz w:val="22"/>
          <w:szCs w:val="22"/>
        </w:rPr>
        <w:t>pela</w:t>
      </w:r>
      <w:r w:rsidRPr="006110C3">
        <w:rPr>
          <w:rFonts w:ascii="Vale Sans" w:eastAsia="Times New Roman" w:hAnsi="Vale Sans" w:cs="Times New Roman"/>
          <w:sz w:val="22"/>
          <w:szCs w:val="22"/>
        </w:rPr>
        <w:t xml:space="preserve"> comunidade escolar como</w:t>
      </w:r>
      <w:r w:rsidR="00D662FA" w:rsidRPr="006110C3">
        <w:rPr>
          <w:rFonts w:ascii="Vale Sans" w:eastAsia="Times New Roman" w:hAnsi="Vale Sans" w:cs="Times New Roman"/>
          <w:sz w:val="22"/>
          <w:szCs w:val="22"/>
        </w:rPr>
        <w:t xml:space="preserve"> ação pontual ou como</w:t>
      </w:r>
      <w:r w:rsidRPr="006110C3">
        <w:rPr>
          <w:rFonts w:ascii="Vale Sans" w:eastAsia="Times New Roman" w:hAnsi="Vale Sans" w:cs="Times New Roman"/>
          <w:sz w:val="22"/>
          <w:szCs w:val="22"/>
        </w:rPr>
        <w:t xml:space="preserve"> recursos didáticos </w:t>
      </w:r>
      <w:r w:rsidR="00182975" w:rsidRPr="006110C3">
        <w:rPr>
          <w:rFonts w:ascii="Vale Sans" w:eastAsia="Times New Roman" w:hAnsi="Vale Sans" w:cs="Times New Roman"/>
          <w:sz w:val="22"/>
          <w:szCs w:val="22"/>
        </w:rPr>
        <w:t xml:space="preserve">apenas </w:t>
      </w:r>
      <w:r w:rsidRPr="006110C3">
        <w:rPr>
          <w:rFonts w:ascii="Vale Sans" w:eastAsia="Times New Roman" w:hAnsi="Vale Sans" w:cs="Times New Roman"/>
          <w:sz w:val="22"/>
          <w:szCs w:val="22"/>
        </w:rPr>
        <w:t>representativos</w:t>
      </w:r>
      <w:r w:rsidR="00182975" w:rsidRPr="006110C3">
        <w:rPr>
          <w:rFonts w:ascii="Vale Sans" w:eastAsia="Times New Roman" w:hAnsi="Vale Sans" w:cs="Times New Roman"/>
          <w:sz w:val="22"/>
          <w:szCs w:val="22"/>
        </w:rPr>
        <w:t>, esvaziando seus potenciais como formas legítimas de conhecimento matemático. Apesar</w:t>
      </w:r>
      <w:r w:rsidR="00D662FA" w:rsidRPr="006110C3">
        <w:rPr>
          <w:rFonts w:ascii="Vale Sans" w:eastAsia="Times New Roman" w:hAnsi="Vale Sans" w:cs="Times New Roman"/>
          <w:sz w:val="22"/>
          <w:szCs w:val="22"/>
        </w:rPr>
        <w:t xml:space="preserve"> </w:t>
      </w:r>
      <w:r w:rsidRPr="006110C3">
        <w:rPr>
          <w:rFonts w:ascii="Vale Sans" w:eastAsia="Times New Roman" w:hAnsi="Vale Sans" w:cs="Times New Roman"/>
          <w:sz w:val="22"/>
          <w:szCs w:val="22"/>
        </w:rPr>
        <w:t>de estarem há mais de 2 décadas em discussão e</w:t>
      </w:r>
      <w:r w:rsidR="00506303" w:rsidRPr="006110C3">
        <w:rPr>
          <w:rFonts w:ascii="Vale Sans" w:eastAsia="Times New Roman" w:hAnsi="Vale Sans" w:cs="Times New Roman"/>
          <w:sz w:val="22"/>
          <w:szCs w:val="22"/>
        </w:rPr>
        <w:t xml:space="preserve"> </w:t>
      </w:r>
      <w:r w:rsidRPr="006110C3">
        <w:rPr>
          <w:rFonts w:ascii="Vale Sans" w:eastAsia="Times New Roman" w:hAnsi="Vale Sans" w:cs="Times New Roman"/>
          <w:sz w:val="22"/>
          <w:szCs w:val="22"/>
        </w:rPr>
        <w:t xml:space="preserve">vigência, diversos </w:t>
      </w:r>
      <w:r w:rsidR="00D662FA" w:rsidRPr="006110C3">
        <w:rPr>
          <w:rFonts w:ascii="Vale Sans" w:eastAsia="Times New Roman" w:hAnsi="Vale Sans" w:cs="Times New Roman"/>
          <w:sz w:val="22"/>
          <w:szCs w:val="22"/>
        </w:rPr>
        <w:t xml:space="preserve">profissionais da educação não se sentem preparados ou </w:t>
      </w:r>
      <w:r w:rsidRPr="006110C3">
        <w:rPr>
          <w:rFonts w:ascii="Vale Sans" w:eastAsia="Times New Roman" w:hAnsi="Vale Sans" w:cs="Times New Roman"/>
          <w:sz w:val="22"/>
          <w:szCs w:val="22"/>
        </w:rPr>
        <w:t xml:space="preserve">apropriados </w:t>
      </w:r>
      <w:r w:rsidR="00D662FA" w:rsidRPr="006110C3">
        <w:rPr>
          <w:rFonts w:ascii="Vale Sans" w:eastAsia="Times New Roman" w:hAnsi="Vale Sans" w:cs="Times New Roman"/>
          <w:sz w:val="22"/>
          <w:szCs w:val="22"/>
        </w:rPr>
        <w:t>da legislação</w:t>
      </w:r>
      <w:r w:rsidRPr="006110C3">
        <w:rPr>
          <w:rFonts w:ascii="Vale Sans" w:eastAsia="Times New Roman" w:hAnsi="Vale Sans" w:cs="Times New Roman"/>
          <w:sz w:val="22"/>
          <w:szCs w:val="22"/>
        </w:rPr>
        <w:t xml:space="preserve"> que </w:t>
      </w:r>
      <w:r w:rsidR="00D53239" w:rsidRPr="006110C3">
        <w:rPr>
          <w:rFonts w:ascii="Vale Sans" w:eastAsia="Times New Roman" w:hAnsi="Vale Sans" w:cs="Times New Roman"/>
          <w:sz w:val="22"/>
          <w:szCs w:val="22"/>
        </w:rPr>
        <w:t>institui</w:t>
      </w:r>
      <w:r w:rsidRPr="006110C3">
        <w:rPr>
          <w:rFonts w:ascii="Vale Sans" w:eastAsia="Times New Roman" w:hAnsi="Vale Sans" w:cs="Times New Roman"/>
          <w:sz w:val="22"/>
          <w:szCs w:val="22"/>
        </w:rPr>
        <w:t xml:space="preserve"> a obrigatoriedade da história e cultura afro-brasileira, africana e indígena na educação básica</w:t>
      </w:r>
      <w:r w:rsidR="00182975" w:rsidRPr="006110C3">
        <w:rPr>
          <w:rFonts w:ascii="Vale Sans" w:eastAsia="Times New Roman" w:hAnsi="Vale Sans" w:cs="Times New Roman"/>
          <w:sz w:val="22"/>
          <w:szCs w:val="22"/>
        </w:rPr>
        <w:t xml:space="preserve">. Isso ocorre também </w:t>
      </w:r>
      <w:r w:rsidRPr="006110C3">
        <w:rPr>
          <w:rFonts w:ascii="Vale Sans" w:eastAsia="Times New Roman" w:hAnsi="Vale Sans" w:cs="Times New Roman"/>
          <w:sz w:val="22"/>
          <w:szCs w:val="22"/>
        </w:rPr>
        <w:t xml:space="preserve">pela falta de repertório sobre práticas que podem ser realizadas fora das disciplinas consideradas da área de humanas. E essa ação institucional é uma oportunidade de dar esse passo! </w:t>
      </w:r>
    </w:p>
    <w:p w14:paraId="76D33C4B"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u w:val="single"/>
        </w:rPr>
        <w:lastRenderedPageBreak/>
        <w:t>Estudantes</w:t>
      </w:r>
    </w:p>
    <w:p w14:paraId="20BCF3F2" w14:textId="77777777" w:rsidR="00C736C5" w:rsidRPr="006110C3" w:rsidRDefault="00097F6D">
      <w:pPr>
        <w:spacing w:after="200" w:line="276" w:lineRule="auto"/>
        <w:jc w:val="both"/>
        <w:rPr>
          <w:rFonts w:ascii="Vale Sans" w:eastAsia="Times New Roman" w:hAnsi="Vale Sans" w:cs="Times New Roman"/>
          <w:b/>
          <w:bCs/>
          <w:color w:val="0070C0"/>
          <w:sz w:val="22"/>
          <w:szCs w:val="22"/>
        </w:rPr>
      </w:pPr>
      <w:r w:rsidRPr="006110C3">
        <w:rPr>
          <w:rFonts w:ascii="Vale Sans" w:eastAsia="Times New Roman" w:hAnsi="Vale Sans" w:cs="Times New Roman"/>
          <w:sz w:val="22"/>
          <w:szCs w:val="22"/>
        </w:rPr>
        <w:t xml:space="preserve">Sob a orientação da equipe docente, os próprios estudantes podem ser os responsáveis por mobilizar uns aos outros. Para isso, cada turma pode, por exemplo, fazer cartazes, vídeos com depoimentos e explicações dos jogos ou até mesmo campanhas nas salas de aula e nos intervalos para que as e os estudantes participem dos torneios. Pode ser também avaliada a possibilidade de serem convidados estudantes de outras unidades escolares da rede e realizar torneios entre escolas. </w:t>
      </w:r>
    </w:p>
    <w:p w14:paraId="0BE75792"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u w:val="single"/>
        </w:rPr>
        <w:t>Familiares e responsáveis</w:t>
      </w:r>
    </w:p>
    <w:p w14:paraId="4517288C"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É </w:t>
      </w:r>
      <w:r w:rsidR="002F62B8" w:rsidRPr="006110C3">
        <w:rPr>
          <w:rFonts w:ascii="Vale Sans" w:eastAsia="Times New Roman" w:hAnsi="Vale Sans" w:cs="Times New Roman"/>
          <w:color w:val="000000"/>
          <w:sz w:val="22"/>
          <w:szCs w:val="22"/>
        </w:rPr>
        <w:t>necessário</w:t>
      </w:r>
      <w:r w:rsidR="002F62B8" w:rsidRPr="006110C3">
        <w:rPr>
          <w:rFonts w:ascii="Vale Sans" w:eastAsia="Times New Roman" w:hAnsi="Vale Sans" w:cs="Times New Roman"/>
          <w:sz w:val="22"/>
          <w:szCs w:val="22"/>
        </w:rPr>
        <w:t xml:space="preserve"> que a equipe gestora defina, junto à equipe pedagógica, o melhor momento e formato para a participação de familiares e responsável</w:t>
      </w:r>
      <w:r w:rsidRPr="006110C3">
        <w:rPr>
          <w:rFonts w:ascii="Vale Sans" w:eastAsia="Times New Roman" w:hAnsi="Vale Sans" w:cs="Times New Roman"/>
          <w:sz w:val="22"/>
          <w:szCs w:val="22"/>
        </w:rPr>
        <w:t xml:space="preserve">. A divulgação pode ser feita por meio de comunicados, reuniões com as famílias e responsáveis, ou outros canais habituais de comunicação da escola. Caso a escolha da equipe pedagógica da escola seja a de receber pais e familiares como organizadores, juízes ou jogadores, por exemplo, é necessário que esses adultos tenham a oportunidade de acessar os jogos e suas respectivas regras com antecedência para que essa participação seja efetiva. Esse é um tipo de atividade que pode ser feita via estudantes como uma tarefa para casa. </w:t>
      </w:r>
    </w:p>
    <w:p w14:paraId="247B58A7" w14:textId="77777777" w:rsidR="00C736C5" w:rsidRPr="006110C3" w:rsidRDefault="00097F6D">
      <w:pPr>
        <w:spacing w:before="240" w:after="80" w:line="276" w:lineRule="auto"/>
        <w:rPr>
          <w:rFonts w:ascii="Vale Sans" w:eastAsia="Times New Roman" w:hAnsi="Vale Sans" w:cs="Times New Roman"/>
          <w:b/>
          <w:bCs/>
          <w:sz w:val="22"/>
          <w:szCs w:val="22"/>
        </w:rPr>
      </w:pPr>
      <w:r w:rsidRPr="006110C3">
        <w:rPr>
          <w:rFonts w:ascii="Vale Sans" w:eastAsia="Times New Roman" w:hAnsi="Vale Sans" w:cs="Times New Roman"/>
          <w:b/>
          <w:bCs/>
          <w:sz w:val="22"/>
          <w:szCs w:val="22"/>
        </w:rPr>
        <w:t>Curadoria e Seleção de jogos</w:t>
      </w:r>
    </w:p>
    <w:p w14:paraId="2B04D7AF" w14:textId="67C1C708"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A equipe gestora é responsável por assegurar a </w:t>
      </w:r>
      <w:r w:rsidRPr="006110C3">
        <w:rPr>
          <w:rFonts w:ascii="Vale Sans" w:eastAsia="Times New Roman" w:hAnsi="Vale Sans" w:cs="Times New Roman"/>
          <w:color w:val="000000"/>
          <w:sz w:val="22"/>
          <w:szCs w:val="22"/>
        </w:rPr>
        <w:t>organização dos materiais</w:t>
      </w:r>
      <w:r w:rsidRPr="006110C3">
        <w:rPr>
          <w:rFonts w:ascii="Vale Sans" w:eastAsia="Times New Roman" w:hAnsi="Vale Sans" w:cs="Times New Roman"/>
          <w:sz w:val="22"/>
          <w:szCs w:val="22"/>
        </w:rPr>
        <w:t xml:space="preserve"> e recursos que possam ser utilizados nessa ação institucional. A seleção dos jogos para os torneios deve ser realizada pela equipe pedagógica, assegurando a diversidade de</w:t>
      </w:r>
      <w:r w:rsidR="00D662FA" w:rsidRPr="006110C3">
        <w:rPr>
          <w:rFonts w:ascii="Vale Sans" w:eastAsia="Times New Roman" w:hAnsi="Vale Sans" w:cs="Times New Roman"/>
          <w:sz w:val="22"/>
          <w:szCs w:val="22"/>
        </w:rPr>
        <w:t xml:space="preserve"> origem dos</w:t>
      </w:r>
      <w:r w:rsidRPr="006110C3">
        <w:rPr>
          <w:rFonts w:ascii="Vale Sans" w:eastAsia="Times New Roman" w:hAnsi="Vale Sans" w:cs="Times New Roman"/>
          <w:sz w:val="22"/>
          <w:szCs w:val="22"/>
        </w:rPr>
        <w:t xml:space="preserve"> jogos a cada torneio, de modo a garantir a ampliação dos estudos e reflexões de conhecimentos, práticas culturais e práticas sociais historicamente construídas em diferentes países </w:t>
      </w:r>
      <w:r w:rsidR="00034129" w:rsidRPr="006110C3">
        <w:rPr>
          <w:rFonts w:ascii="Vale Sans" w:eastAsia="Times New Roman" w:hAnsi="Vale Sans" w:cs="Times New Roman"/>
          <w:sz w:val="22"/>
          <w:szCs w:val="22"/>
        </w:rPr>
        <w:t xml:space="preserve">africanos e etnias indígenas, </w:t>
      </w:r>
      <w:r w:rsidRPr="006110C3">
        <w:rPr>
          <w:rFonts w:ascii="Vale Sans" w:eastAsia="Times New Roman" w:hAnsi="Vale Sans" w:cs="Times New Roman"/>
          <w:sz w:val="22"/>
          <w:szCs w:val="22"/>
        </w:rPr>
        <w:t xml:space="preserve">bem como a ampliação do </w:t>
      </w:r>
      <w:r w:rsidRPr="006110C3">
        <w:rPr>
          <w:rFonts w:ascii="Vale Sans" w:eastAsia="Times New Roman" w:hAnsi="Vale Sans" w:cs="Times New Roman"/>
          <w:color w:val="000000"/>
          <w:sz w:val="22"/>
          <w:szCs w:val="22"/>
        </w:rPr>
        <w:t>repertório matemático e estratégicos das e dos estudantes</w:t>
      </w:r>
      <w:r w:rsidRPr="006110C3">
        <w:rPr>
          <w:rFonts w:ascii="Vale Sans" w:eastAsia="Times New Roman" w:hAnsi="Vale Sans" w:cs="Times New Roman"/>
          <w:sz w:val="22"/>
          <w:szCs w:val="22"/>
        </w:rPr>
        <w:t>.</w:t>
      </w:r>
    </w:p>
    <w:p w14:paraId="73D32651"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Alguns passos importantes a serem considerados:</w:t>
      </w:r>
    </w:p>
    <w:p w14:paraId="0671F827" w14:textId="5EAD18E0" w:rsidR="00C736C5" w:rsidRPr="006110C3" w:rsidRDefault="00097F6D">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Revisão do acervo de jogos da escola e análise da possibilidade de atualizá-lo, buscando contemplar a presença de jogos africanos e indígenas, a fim de ampliar o repertório matemático e cultural das e dos estudantes. </w:t>
      </w:r>
    </w:p>
    <w:p w14:paraId="5D49940F" w14:textId="2E1CB96D" w:rsidR="00C736C5" w:rsidRPr="006110C3" w:rsidRDefault="00097F6D">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color w:val="000000"/>
          <w:sz w:val="22"/>
          <w:szCs w:val="22"/>
        </w:rPr>
        <w:t>Mapeamento e estudo de jogos matemáticos de origem africa</w:t>
      </w:r>
      <w:r w:rsidRPr="006110C3">
        <w:rPr>
          <w:rFonts w:ascii="Vale Sans" w:eastAsia="Times New Roman" w:hAnsi="Vale Sans" w:cs="Times New Roman"/>
          <w:sz w:val="22"/>
          <w:szCs w:val="22"/>
        </w:rPr>
        <w:t>na</w:t>
      </w:r>
      <w:r w:rsidRPr="006110C3">
        <w:rPr>
          <w:rFonts w:ascii="Vale Sans" w:eastAsia="Times New Roman" w:hAnsi="Vale Sans" w:cs="Times New Roman"/>
          <w:color w:val="000000"/>
          <w:sz w:val="22"/>
          <w:szCs w:val="22"/>
        </w:rPr>
        <w:t>. Alguns exemplos</w:t>
      </w:r>
      <w:r w:rsidR="006E5653" w:rsidRPr="006110C3">
        <w:rPr>
          <w:rFonts w:ascii="Vale Sans" w:eastAsia="Times New Roman" w:hAnsi="Vale Sans" w:cs="Times New Roman"/>
          <w:color w:val="000000"/>
          <w:sz w:val="22"/>
          <w:szCs w:val="22"/>
        </w:rPr>
        <w:t>, que favorecem contagens, estimativas, cálculos aditivos e raciocínio lógico,</w:t>
      </w:r>
      <w:r w:rsidRPr="006110C3">
        <w:rPr>
          <w:rFonts w:ascii="Vale Sans" w:eastAsia="Times New Roman" w:hAnsi="Vale Sans" w:cs="Times New Roman"/>
          <w:color w:val="000000"/>
          <w:sz w:val="22"/>
          <w:szCs w:val="22"/>
        </w:rPr>
        <w:t xml:space="preserve"> são:  </w:t>
      </w:r>
    </w:p>
    <w:p w14:paraId="6AC1DD83" w14:textId="31A02131" w:rsidR="00C736C5" w:rsidRPr="006110C3" w:rsidRDefault="00097F6D">
      <w:pPr>
        <w:pBdr>
          <w:top w:val="nil"/>
          <w:left w:val="nil"/>
          <w:bottom w:val="nil"/>
          <w:right w:val="nil"/>
          <w:between w:val="nil"/>
        </w:pBdr>
        <w:spacing w:after="100" w:line="276" w:lineRule="auto"/>
        <w:ind w:left="360" w:firstLine="360"/>
        <w:jc w:val="both"/>
        <w:rPr>
          <w:rFonts w:ascii="Vale Sans" w:eastAsia="Times New Roman" w:hAnsi="Vale Sans" w:cs="Times New Roman"/>
          <w:color w:val="000000"/>
          <w:sz w:val="22"/>
          <w:szCs w:val="22"/>
        </w:rPr>
      </w:pPr>
      <w:r w:rsidRPr="006110C3">
        <w:rPr>
          <w:rFonts w:ascii="Vale Sans" w:eastAsia="Times New Roman" w:hAnsi="Vale Sans" w:cs="Times New Roman"/>
          <w:color w:val="000000"/>
          <w:sz w:val="22"/>
          <w:szCs w:val="22"/>
        </w:rPr>
        <w:t xml:space="preserve">- </w:t>
      </w:r>
      <w:r w:rsidRPr="006110C3">
        <w:rPr>
          <w:rFonts w:ascii="Vale Sans" w:eastAsia="Times New Roman" w:hAnsi="Vale Sans" w:cs="Times New Roman"/>
          <w:color w:val="000000"/>
          <w:sz w:val="22"/>
          <w:szCs w:val="22"/>
          <w:u w:val="single"/>
        </w:rPr>
        <w:t>Morabaraba ou Umlabalaba</w:t>
      </w:r>
      <w:r w:rsidRPr="006110C3">
        <w:rPr>
          <w:rFonts w:ascii="Vale Sans" w:eastAsia="Times New Roman" w:hAnsi="Vale Sans" w:cs="Times New Roman"/>
          <w:color w:val="000000"/>
          <w:sz w:val="22"/>
          <w:szCs w:val="22"/>
        </w:rPr>
        <w:t xml:space="preserve">, muito praticado na África do Sul </w:t>
      </w:r>
      <w:r w:rsidR="00034129" w:rsidRPr="006110C3">
        <w:rPr>
          <w:rFonts w:ascii="Vale Sans" w:eastAsia="Times New Roman" w:hAnsi="Vale Sans" w:cs="Times New Roman"/>
          <w:color w:val="000000"/>
          <w:sz w:val="22"/>
          <w:szCs w:val="22"/>
        </w:rPr>
        <w:t xml:space="preserve">e Botsuana, da África Austral ou região sul do continente africano. </w:t>
      </w:r>
    </w:p>
    <w:p w14:paraId="2A5BD12B" w14:textId="77777777" w:rsidR="00C736C5" w:rsidRPr="006110C3" w:rsidRDefault="00097F6D">
      <w:pPr>
        <w:pBdr>
          <w:top w:val="nil"/>
          <w:left w:val="nil"/>
          <w:bottom w:val="nil"/>
          <w:right w:val="nil"/>
          <w:between w:val="nil"/>
        </w:pBdr>
        <w:spacing w:after="100" w:line="276" w:lineRule="auto"/>
        <w:ind w:left="360" w:firstLine="360"/>
        <w:jc w:val="both"/>
        <w:rPr>
          <w:rFonts w:ascii="Vale Sans" w:eastAsia="Times New Roman" w:hAnsi="Vale Sans" w:cs="Times New Roman"/>
          <w:color w:val="000000"/>
          <w:sz w:val="22"/>
          <w:szCs w:val="22"/>
        </w:rPr>
      </w:pPr>
      <w:r w:rsidRPr="006110C3">
        <w:rPr>
          <w:rFonts w:ascii="Vale Sans" w:eastAsia="Times New Roman" w:hAnsi="Vale Sans" w:cs="Times New Roman"/>
          <w:color w:val="000000"/>
          <w:sz w:val="22"/>
          <w:szCs w:val="22"/>
        </w:rPr>
        <w:t xml:space="preserve">- </w:t>
      </w:r>
      <w:r w:rsidRPr="006110C3">
        <w:rPr>
          <w:rFonts w:ascii="Vale Sans" w:eastAsia="Times New Roman" w:hAnsi="Vale Sans" w:cs="Times New Roman"/>
          <w:color w:val="000000"/>
          <w:sz w:val="22"/>
          <w:szCs w:val="22"/>
          <w:u w:val="single"/>
        </w:rPr>
        <w:t>Shisima</w:t>
      </w:r>
      <w:r w:rsidRPr="006110C3">
        <w:rPr>
          <w:rFonts w:ascii="Vale Sans" w:eastAsia="Times New Roman" w:hAnsi="Vale Sans" w:cs="Times New Roman"/>
          <w:color w:val="000000"/>
          <w:sz w:val="22"/>
          <w:szCs w:val="22"/>
        </w:rPr>
        <w:t xml:space="preserve">, praticado por crianças da parte ocidental do Quênia, país localizado no leste africano.  </w:t>
      </w:r>
    </w:p>
    <w:p w14:paraId="1F742BA6" w14:textId="77777777" w:rsidR="00C736C5" w:rsidRPr="006110C3" w:rsidRDefault="00097F6D">
      <w:pPr>
        <w:pBdr>
          <w:top w:val="nil"/>
          <w:left w:val="nil"/>
          <w:bottom w:val="nil"/>
          <w:right w:val="nil"/>
          <w:between w:val="nil"/>
        </w:pBdr>
        <w:spacing w:after="100" w:line="276" w:lineRule="auto"/>
        <w:ind w:left="360" w:firstLine="360"/>
        <w:jc w:val="both"/>
        <w:rPr>
          <w:rFonts w:ascii="Vale Sans" w:eastAsia="Times New Roman" w:hAnsi="Vale Sans" w:cs="Times New Roman"/>
          <w:color w:val="000000"/>
          <w:sz w:val="22"/>
          <w:szCs w:val="22"/>
        </w:rPr>
      </w:pPr>
      <w:r w:rsidRPr="006110C3">
        <w:rPr>
          <w:rFonts w:ascii="Vale Sans" w:eastAsia="Times New Roman" w:hAnsi="Vale Sans" w:cs="Times New Roman"/>
          <w:color w:val="000000"/>
          <w:sz w:val="22"/>
          <w:szCs w:val="22"/>
        </w:rPr>
        <w:t xml:space="preserve">- </w:t>
      </w:r>
      <w:r w:rsidRPr="006110C3">
        <w:rPr>
          <w:rFonts w:ascii="Vale Sans" w:eastAsia="Times New Roman" w:hAnsi="Vale Sans" w:cs="Times New Roman"/>
          <w:color w:val="000000"/>
          <w:sz w:val="22"/>
          <w:szCs w:val="22"/>
          <w:u w:val="single"/>
        </w:rPr>
        <w:t>Tsoro Yematatu</w:t>
      </w:r>
      <w:r w:rsidRPr="006110C3">
        <w:rPr>
          <w:rFonts w:ascii="Vale Sans" w:eastAsia="Times New Roman" w:hAnsi="Vale Sans" w:cs="Times New Roman"/>
          <w:color w:val="000000"/>
          <w:sz w:val="22"/>
          <w:szCs w:val="22"/>
        </w:rPr>
        <w:t xml:space="preserve">, oriundo da África meridional, mais precisamente do Zimbábue, país situado no sul do continente africano. </w:t>
      </w:r>
    </w:p>
    <w:p w14:paraId="46BB4EA7" w14:textId="14C223C7" w:rsidR="00C736C5" w:rsidRPr="006110C3" w:rsidRDefault="00097F6D">
      <w:pPr>
        <w:pBdr>
          <w:top w:val="nil"/>
          <w:left w:val="nil"/>
          <w:bottom w:val="nil"/>
          <w:right w:val="nil"/>
          <w:between w:val="nil"/>
        </w:pBdr>
        <w:spacing w:after="100" w:line="276" w:lineRule="auto"/>
        <w:ind w:left="360" w:firstLine="360"/>
        <w:jc w:val="both"/>
        <w:rPr>
          <w:rFonts w:ascii="Vale Sans" w:eastAsia="Times New Roman" w:hAnsi="Vale Sans" w:cs="Times New Roman"/>
          <w:color w:val="000000"/>
          <w:sz w:val="22"/>
          <w:szCs w:val="22"/>
        </w:rPr>
      </w:pPr>
      <w:r w:rsidRPr="006110C3">
        <w:rPr>
          <w:rFonts w:ascii="Vale Sans" w:eastAsia="Times New Roman" w:hAnsi="Vale Sans" w:cs="Times New Roman"/>
          <w:color w:val="000000"/>
          <w:sz w:val="22"/>
          <w:szCs w:val="22"/>
        </w:rPr>
        <w:t xml:space="preserve">- </w:t>
      </w:r>
      <w:r w:rsidRPr="006110C3">
        <w:rPr>
          <w:rFonts w:ascii="Vale Sans" w:eastAsia="Times New Roman" w:hAnsi="Vale Sans" w:cs="Times New Roman"/>
          <w:color w:val="000000"/>
          <w:sz w:val="22"/>
          <w:szCs w:val="22"/>
          <w:u w:val="single"/>
        </w:rPr>
        <w:t>Mancala</w:t>
      </w:r>
      <w:r w:rsidRPr="006110C3">
        <w:rPr>
          <w:rFonts w:ascii="Vale Sans" w:eastAsia="Times New Roman" w:hAnsi="Vale Sans" w:cs="Times New Roman"/>
          <w:sz w:val="22"/>
          <w:szCs w:val="22"/>
        </w:rPr>
        <w:t>,</w:t>
      </w:r>
      <w:r w:rsidRPr="006110C3">
        <w:rPr>
          <w:rFonts w:ascii="Vale Sans" w:eastAsia="Times New Roman" w:hAnsi="Vale Sans" w:cs="Times New Roman"/>
          <w:color w:val="000000"/>
          <w:sz w:val="22"/>
          <w:szCs w:val="22"/>
        </w:rPr>
        <w:t xml:space="preserve"> trata-se de uma família de jogos com cerca de 200 variações, que seguem regras de acordo com a região na qual eles são praticados e podem ser jogados em tabuleiros ou em chão de terra, simulando situações de cooperatividade durante a semeadura e a colheita de sementes. O Mancala Oware, por exemplo, é jogado pelos povos Ashanti, de Gana. Já o Mancala Ouri, é praticado e está enraizado na cultura de Cabo Verde. Uma das variações mais difundidas pelo mundo, incluindo o Brasil, é o </w:t>
      </w:r>
      <w:r w:rsidRPr="006110C3">
        <w:rPr>
          <w:rFonts w:ascii="Vale Sans" w:eastAsia="Times New Roman" w:hAnsi="Vale Sans" w:cs="Times New Roman"/>
          <w:color w:val="000000"/>
          <w:sz w:val="22"/>
          <w:szCs w:val="22"/>
          <w:u w:val="single"/>
        </w:rPr>
        <w:t xml:space="preserve">Mancala </w:t>
      </w:r>
      <w:r w:rsidRPr="006110C3">
        <w:rPr>
          <w:rFonts w:ascii="Vale Sans" w:eastAsia="Times New Roman" w:hAnsi="Vale Sans" w:cs="Times New Roman"/>
          <w:sz w:val="22"/>
          <w:szCs w:val="22"/>
          <w:u w:val="single"/>
        </w:rPr>
        <w:t>Awalé</w:t>
      </w:r>
      <w:r w:rsidRPr="006110C3">
        <w:rPr>
          <w:rFonts w:ascii="Vale Sans" w:eastAsia="Times New Roman" w:hAnsi="Vale Sans" w:cs="Times New Roman"/>
          <w:color w:val="000000"/>
          <w:sz w:val="22"/>
          <w:szCs w:val="22"/>
        </w:rPr>
        <w:t xml:space="preserve">, culturalmente jogado com sementes de Baobá, conhecida como “árvore de vida” e um símbolo sagrado de resistência, força e ancestralidade.  </w:t>
      </w:r>
    </w:p>
    <w:p w14:paraId="1AC54439" w14:textId="1BD66B55" w:rsidR="00C736C5" w:rsidRPr="006110C3" w:rsidRDefault="00097F6D">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color w:val="000000"/>
          <w:sz w:val="22"/>
          <w:szCs w:val="22"/>
        </w:rPr>
        <w:t xml:space="preserve">Mapeamento e estudo de jogos matemáticos indígenas. </w:t>
      </w:r>
      <w:r w:rsidRPr="006110C3">
        <w:rPr>
          <w:rFonts w:ascii="Vale Sans" w:eastAsia="Times New Roman" w:hAnsi="Vale Sans" w:cs="Times New Roman"/>
          <w:sz w:val="22"/>
          <w:szCs w:val="22"/>
        </w:rPr>
        <w:t xml:space="preserve">Diversos jogos de caça foram ou são praticados por comunidades indígenas.  O </w:t>
      </w:r>
      <w:r w:rsidRPr="006110C3">
        <w:rPr>
          <w:rFonts w:ascii="Vale Sans" w:eastAsia="Times New Roman" w:hAnsi="Vale Sans" w:cs="Times New Roman"/>
          <w:sz w:val="22"/>
          <w:szCs w:val="22"/>
          <w:u w:val="single"/>
        </w:rPr>
        <w:t>jogo da onça,</w:t>
      </w:r>
      <w:r w:rsidRPr="006110C3">
        <w:rPr>
          <w:rFonts w:ascii="Vale Sans" w:eastAsia="Times New Roman" w:hAnsi="Vale Sans" w:cs="Times New Roman"/>
          <w:sz w:val="22"/>
          <w:szCs w:val="22"/>
        </w:rPr>
        <w:t xml:space="preserve"> por exemplo, é um dos mais </w:t>
      </w:r>
      <w:r w:rsidRPr="006110C3">
        <w:rPr>
          <w:rFonts w:ascii="Vale Sans" w:eastAsia="Times New Roman" w:hAnsi="Vale Sans" w:cs="Times New Roman"/>
          <w:sz w:val="22"/>
          <w:szCs w:val="22"/>
        </w:rPr>
        <w:lastRenderedPageBreak/>
        <w:t xml:space="preserve">disseminados e estudados em diferentes pesquisas acadêmicas. </w:t>
      </w:r>
      <w:r w:rsidR="006E5653" w:rsidRPr="006110C3">
        <w:rPr>
          <w:rFonts w:ascii="Vale Sans" w:eastAsia="Times New Roman" w:hAnsi="Vale Sans" w:cs="Times New Roman"/>
          <w:sz w:val="22"/>
          <w:szCs w:val="22"/>
        </w:rPr>
        <w:t>A gestão escolar pode organizar uma pesquisa</w:t>
      </w:r>
      <w:r w:rsidR="00785503" w:rsidRPr="006110C3">
        <w:rPr>
          <w:rFonts w:ascii="Vale Sans" w:eastAsia="Times New Roman" w:hAnsi="Vale Sans" w:cs="Times New Roman"/>
          <w:sz w:val="22"/>
          <w:szCs w:val="22"/>
        </w:rPr>
        <w:t xml:space="preserve"> com a comunidade</w:t>
      </w:r>
      <w:r w:rsidR="006E5653" w:rsidRPr="006110C3">
        <w:rPr>
          <w:rFonts w:ascii="Vale Sans" w:eastAsia="Times New Roman" w:hAnsi="Vale Sans" w:cs="Times New Roman"/>
          <w:sz w:val="22"/>
          <w:szCs w:val="22"/>
        </w:rPr>
        <w:t xml:space="preserve"> sobre povos originários que fazem parte </w:t>
      </w:r>
      <w:r w:rsidR="00785503" w:rsidRPr="006110C3">
        <w:rPr>
          <w:rFonts w:ascii="Vale Sans" w:eastAsia="Times New Roman" w:hAnsi="Vale Sans" w:cs="Times New Roman"/>
          <w:sz w:val="22"/>
          <w:szCs w:val="22"/>
        </w:rPr>
        <w:t xml:space="preserve">ou estão próximos </w:t>
      </w:r>
      <w:r w:rsidR="006E5653" w:rsidRPr="006110C3">
        <w:rPr>
          <w:rFonts w:ascii="Vale Sans" w:eastAsia="Times New Roman" w:hAnsi="Vale Sans" w:cs="Times New Roman"/>
          <w:sz w:val="22"/>
          <w:szCs w:val="22"/>
        </w:rPr>
        <w:t xml:space="preserve">do território em que a escola está inserida, a fim de mapear novos jogos. </w:t>
      </w:r>
    </w:p>
    <w:p w14:paraId="1CD6F33C" w14:textId="77D59681" w:rsidR="00C736C5" w:rsidRPr="006110C3" w:rsidRDefault="00097F6D">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Definição dos jogos que irão compor cada torneio. </w:t>
      </w:r>
    </w:p>
    <w:p w14:paraId="6D6B8612" w14:textId="77777777" w:rsidR="0005717D" w:rsidRPr="006110C3" w:rsidRDefault="0005717D">
      <w:pPr>
        <w:pBdr>
          <w:top w:val="nil"/>
          <w:left w:val="nil"/>
          <w:bottom w:val="nil"/>
          <w:right w:val="nil"/>
          <w:between w:val="nil"/>
        </w:pBdr>
        <w:spacing w:after="100" w:line="276" w:lineRule="auto"/>
        <w:jc w:val="both"/>
        <w:rPr>
          <w:rFonts w:ascii="Vale Sans" w:eastAsia="Times New Roman" w:hAnsi="Vale Sans" w:cs="Times New Roman"/>
          <w:b/>
          <w:bCs/>
          <w:sz w:val="22"/>
          <w:szCs w:val="22"/>
        </w:rPr>
      </w:pPr>
    </w:p>
    <w:p w14:paraId="05DA766F" w14:textId="77777777" w:rsidR="0005717D" w:rsidRPr="006110C3" w:rsidRDefault="0005717D">
      <w:pPr>
        <w:pBdr>
          <w:top w:val="nil"/>
          <w:left w:val="nil"/>
          <w:bottom w:val="nil"/>
          <w:right w:val="nil"/>
          <w:between w:val="nil"/>
        </w:pBdr>
        <w:spacing w:after="100" w:line="276" w:lineRule="auto"/>
        <w:jc w:val="both"/>
        <w:rPr>
          <w:rFonts w:ascii="Vale Sans" w:eastAsia="Times New Roman" w:hAnsi="Vale Sans" w:cs="Times New Roman"/>
          <w:b/>
          <w:bCs/>
          <w:sz w:val="22"/>
          <w:szCs w:val="22"/>
        </w:rPr>
      </w:pPr>
    </w:p>
    <w:p w14:paraId="7D3E04EF" w14:textId="5103477D" w:rsidR="00C736C5" w:rsidRPr="006110C3" w:rsidRDefault="00097F6D">
      <w:pPr>
        <w:pBdr>
          <w:top w:val="nil"/>
          <w:left w:val="nil"/>
          <w:bottom w:val="nil"/>
          <w:right w:val="nil"/>
          <w:between w:val="nil"/>
        </w:pBdr>
        <w:spacing w:after="100" w:line="276" w:lineRule="auto"/>
        <w:jc w:val="both"/>
        <w:rPr>
          <w:rFonts w:ascii="Vale Sans" w:eastAsia="Times New Roman" w:hAnsi="Vale Sans" w:cs="Times New Roman"/>
          <w:b/>
          <w:bCs/>
          <w:sz w:val="22"/>
          <w:szCs w:val="22"/>
        </w:rPr>
      </w:pPr>
      <w:r w:rsidRPr="006110C3">
        <w:rPr>
          <w:rFonts w:ascii="Vale Sans" w:eastAsia="Times New Roman" w:hAnsi="Vale Sans" w:cs="Times New Roman"/>
          <w:b/>
          <w:bCs/>
          <w:sz w:val="22"/>
          <w:szCs w:val="22"/>
        </w:rPr>
        <w:t>Produção dos Jogos</w:t>
      </w:r>
    </w:p>
    <w:p w14:paraId="6C8ED379" w14:textId="5E740242" w:rsidR="00406F2E" w:rsidRPr="006110C3" w:rsidRDefault="00097F6D">
      <w:pPr>
        <w:pBdr>
          <w:top w:val="nil"/>
          <w:left w:val="nil"/>
          <w:bottom w:val="nil"/>
          <w:right w:val="nil"/>
          <w:between w:val="nil"/>
        </w:pBdr>
        <w:spacing w:before="280" w:after="28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Após a definição dos jogos que irão compor cada torneio e os objetivos de aprendizagem atrelados a eles no trabalho em aula, será necessário ter disponível a quantidade suficiente de materiais (jogos) para o trabalho pedagógico em aula e para uso nos torneios. Diante dessa necessidade, dois caminhos são possíveis, caso esses jogos não façam parte do acervo da escola. O primeiro é avaliar a disponibilidade de recursos para compra desses materiais. O segundo é propor que os próprios estudantes construam os jogos com</w:t>
      </w:r>
      <w:r w:rsidR="005F7863" w:rsidRPr="006110C3">
        <w:rPr>
          <w:rFonts w:ascii="Vale Sans" w:eastAsia="Times New Roman" w:hAnsi="Vale Sans" w:cs="Times New Roman"/>
          <w:sz w:val="22"/>
          <w:szCs w:val="22"/>
        </w:rPr>
        <w:t xml:space="preserve"> materiais acessíveis e recicláveis (</w:t>
      </w:r>
      <w:r w:rsidRPr="006110C3">
        <w:rPr>
          <w:rFonts w:ascii="Vale Sans" w:eastAsia="Times New Roman" w:hAnsi="Vale Sans" w:cs="Times New Roman"/>
          <w:sz w:val="22"/>
          <w:szCs w:val="22"/>
        </w:rPr>
        <w:t xml:space="preserve">desde os tabuleiros e peças até os manuais com regras). Considerando os exemplos trazidos anteriormente (Morabaraba, Shisima, Tsoro, Mancala Awalé e Jogo da Onça), é possível construí-los com materiais como: tampinhas de garrafa, régua, papel ou papelão em tamanho A4, caneta, caixas de ovos, sementes ou grãos, dentre outros. </w:t>
      </w:r>
      <w:r w:rsidR="00406F2E" w:rsidRPr="006110C3">
        <w:rPr>
          <w:rFonts w:ascii="Vale Sans" w:eastAsia="Times New Roman" w:hAnsi="Vale Sans" w:cs="Times New Roman"/>
          <w:sz w:val="22"/>
          <w:szCs w:val="22"/>
        </w:rPr>
        <w:t>A adaptação dos jogos ao contexto escolar é possível, desde que seus princípios, regras e contextos de origem sejam conhecidos e considerados. Esse cuidado é fundamental para que não haja simplificações ou distorções que descaracterizem os conhecimentos produzidos pelos povos de origem, favorecendo uma abordagem respeitosa e contextualizada dessas práticas culturais.</w:t>
      </w:r>
    </w:p>
    <w:p w14:paraId="751FA3E0" w14:textId="17B27569" w:rsidR="00C56A59" w:rsidRPr="006110C3" w:rsidRDefault="008220E3" w:rsidP="00C56A59">
      <w:pPr>
        <w:pBdr>
          <w:top w:val="nil"/>
          <w:left w:val="nil"/>
          <w:bottom w:val="nil"/>
          <w:right w:val="nil"/>
          <w:between w:val="nil"/>
        </w:pBdr>
        <w:spacing w:before="280" w:after="28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Ao propor a construção dos jogos pelos estudantes, </w:t>
      </w:r>
      <w:r w:rsidR="00097F6D" w:rsidRPr="006110C3">
        <w:rPr>
          <w:rFonts w:ascii="Vale Sans" w:eastAsia="Times New Roman" w:hAnsi="Vale Sans" w:cs="Times New Roman"/>
          <w:sz w:val="22"/>
          <w:szCs w:val="22"/>
        </w:rPr>
        <w:t xml:space="preserve">são diversas as possibilidades </w:t>
      </w:r>
      <w:r w:rsidR="001C2ED3" w:rsidRPr="006110C3">
        <w:rPr>
          <w:rFonts w:ascii="Vale Sans" w:eastAsia="Times New Roman" w:hAnsi="Vale Sans" w:cs="Times New Roman"/>
          <w:sz w:val="22"/>
          <w:szCs w:val="22"/>
        </w:rPr>
        <w:t xml:space="preserve">de </w:t>
      </w:r>
      <w:r w:rsidR="0005717D" w:rsidRPr="006110C3">
        <w:rPr>
          <w:rFonts w:ascii="Vale Sans" w:eastAsia="Times New Roman" w:hAnsi="Vale Sans" w:cs="Times New Roman"/>
          <w:sz w:val="22"/>
          <w:szCs w:val="22"/>
        </w:rPr>
        <w:t xml:space="preserve">articulação com </w:t>
      </w:r>
      <w:r w:rsidR="00097F6D" w:rsidRPr="006110C3">
        <w:rPr>
          <w:rFonts w:ascii="Vale Sans" w:eastAsia="Times New Roman" w:hAnsi="Vale Sans" w:cs="Times New Roman"/>
          <w:sz w:val="22"/>
          <w:szCs w:val="22"/>
        </w:rPr>
        <w:t xml:space="preserve">objetivos de aprendizagem previstos nas diretrizes curriculares de matemática </w:t>
      </w:r>
      <w:r w:rsidR="00C56A59" w:rsidRPr="006110C3">
        <w:rPr>
          <w:rFonts w:ascii="Vale Sans" w:eastAsia="Times New Roman" w:hAnsi="Vale Sans" w:cs="Times New Roman"/>
          <w:sz w:val="22"/>
          <w:szCs w:val="22"/>
        </w:rPr>
        <w:t>da Educação Básica</w:t>
      </w:r>
      <w:r w:rsidR="0005717D" w:rsidRPr="006110C3">
        <w:rPr>
          <w:rFonts w:ascii="Vale Sans" w:eastAsia="Times New Roman" w:hAnsi="Vale Sans" w:cs="Times New Roman"/>
          <w:sz w:val="22"/>
          <w:szCs w:val="22"/>
        </w:rPr>
        <w:t xml:space="preserve">. </w:t>
      </w:r>
      <w:r w:rsidR="00C56A59" w:rsidRPr="006110C3">
        <w:rPr>
          <w:rFonts w:ascii="Vale Sans" w:eastAsia="Times New Roman" w:hAnsi="Vale Sans" w:cs="Times New Roman"/>
          <w:sz w:val="22"/>
          <w:szCs w:val="22"/>
        </w:rPr>
        <w:t xml:space="preserve">Para reproduzir o </w:t>
      </w:r>
      <w:r w:rsidR="00097F6D" w:rsidRPr="006110C3">
        <w:rPr>
          <w:rFonts w:ascii="Vale Sans" w:eastAsia="Times New Roman" w:hAnsi="Vale Sans" w:cs="Times New Roman"/>
          <w:sz w:val="22"/>
          <w:szCs w:val="22"/>
        </w:rPr>
        <w:t>tabuleiro do Morabaraba, por exemplo, composto por três quadrados concêntricos</w:t>
      </w:r>
      <w:r w:rsidR="00C56A59" w:rsidRPr="006110C3">
        <w:rPr>
          <w:rFonts w:ascii="Vale Sans" w:eastAsia="Times New Roman" w:hAnsi="Vale Sans" w:cs="Times New Roman"/>
          <w:sz w:val="22"/>
          <w:szCs w:val="22"/>
        </w:rPr>
        <w:t>, é necessário colocar em jogo</w:t>
      </w:r>
      <w:r w:rsidR="00097F6D" w:rsidRPr="006110C3">
        <w:rPr>
          <w:rFonts w:ascii="Vale Sans" w:eastAsia="Times New Roman" w:hAnsi="Vale Sans" w:cs="Times New Roman"/>
          <w:sz w:val="22"/>
          <w:szCs w:val="22"/>
        </w:rPr>
        <w:t xml:space="preserve"> diversos conhecimentos conceituais e procedimentais da matemática. </w:t>
      </w:r>
      <w:r w:rsidR="0005717D" w:rsidRPr="006110C3">
        <w:rPr>
          <w:rFonts w:ascii="Vale Sans" w:eastAsia="Times New Roman" w:hAnsi="Vale Sans" w:cs="Times New Roman"/>
          <w:sz w:val="22"/>
          <w:szCs w:val="22"/>
        </w:rPr>
        <w:t>Isso</w:t>
      </w:r>
      <w:r w:rsidR="00097F6D" w:rsidRPr="006110C3">
        <w:rPr>
          <w:rFonts w:ascii="Vale Sans" w:eastAsia="Times New Roman" w:hAnsi="Vale Sans" w:cs="Times New Roman"/>
          <w:sz w:val="22"/>
          <w:szCs w:val="22"/>
        </w:rPr>
        <w:t xml:space="preserve"> vale para a construção dos tabuleiros do Shisima e Tsoro, que são compostos, respectivamente, por um octógono regular e um triângulo isósceles. </w:t>
      </w:r>
      <w:r w:rsidR="00C56A59" w:rsidRPr="006110C3">
        <w:rPr>
          <w:rFonts w:ascii="Vale Sans" w:eastAsia="Times New Roman" w:hAnsi="Vale Sans" w:cs="Times New Roman"/>
          <w:sz w:val="22"/>
          <w:szCs w:val="22"/>
        </w:rPr>
        <w:t>Ou seja, todo esse processo que antecede ao momento de jogar possibilita o trabalho</w:t>
      </w:r>
      <w:r w:rsidR="0005717D" w:rsidRPr="006110C3">
        <w:rPr>
          <w:rFonts w:ascii="Vale Sans" w:eastAsia="Times New Roman" w:hAnsi="Vale Sans" w:cs="Times New Roman"/>
          <w:sz w:val="22"/>
          <w:szCs w:val="22"/>
        </w:rPr>
        <w:t xml:space="preserve"> com</w:t>
      </w:r>
      <w:r w:rsidR="00C56A59" w:rsidRPr="006110C3">
        <w:rPr>
          <w:rFonts w:ascii="Vale Sans" w:eastAsia="Times New Roman" w:hAnsi="Vale Sans" w:cs="Times New Roman"/>
          <w:sz w:val="22"/>
          <w:szCs w:val="22"/>
        </w:rPr>
        <w:t xml:space="preserve"> diferentes conceitos matemáticos como formas geométricas, medidas, proporcionalidade e organização espacial, articulados ao reconhecimento dos saberes matemáticos produzido por diferentes povos africanos e indígenas. </w:t>
      </w:r>
    </w:p>
    <w:p w14:paraId="496F971B" w14:textId="77777777" w:rsidR="00C736C5" w:rsidRPr="006110C3" w:rsidRDefault="00097F6D">
      <w:pPr>
        <w:spacing w:before="240" w:after="80" w:line="276" w:lineRule="auto"/>
        <w:rPr>
          <w:rFonts w:ascii="Vale Sans" w:eastAsia="Times New Roman" w:hAnsi="Vale Sans" w:cs="Times New Roman"/>
          <w:b/>
          <w:bCs/>
          <w:sz w:val="22"/>
          <w:szCs w:val="22"/>
        </w:rPr>
      </w:pPr>
      <w:r w:rsidRPr="006110C3">
        <w:rPr>
          <w:rFonts w:ascii="Vale Sans" w:eastAsia="Times New Roman" w:hAnsi="Vale Sans" w:cs="Times New Roman"/>
          <w:b/>
          <w:bCs/>
          <w:sz w:val="22"/>
          <w:szCs w:val="22"/>
        </w:rPr>
        <w:t xml:space="preserve">Organização do torneio: antes, durante e depois.  </w:t>
      </w:r>
    </w:p>
    <w:p w14:paraId="5904C119" w14:textId="77777777" w:rsidR="00C736C5" w:rsidRPr="006110C3" w:rsidRDefault="00097F6D">
      <w:pPr>
        <w:spacing w:after="200" w:line="276" w:lineRule="auto"/>
        <w:jc w:val="both"/>
        <w:rPr>
          <w:rFonts w:ascii="Vale Sans" w:eastAsia="Times New Roman" w:hAnsi="Vale Sans" w:cs="Times New Roman"/>
          <w:sz w:val="22"/>
          <w:szCs w:val="22"/>
          <w:u w:val="single"/>
        </w:rPr>
      </w:pPr>
      <w:r w:rsidRPr="006110C3">
        <w:rPr>
          <w:rFonts w:ascii="Vale Sans" w:eastAsia="Times New Roman" w:hAnsi="Vale Sans" w:cs="Times New Roman"/>
          <w:sz w:val="22"/>
          <w:szCs w:val="22"/>
          <w:u w:val="single"/>
        </w:rPr>
        <w:t xml:space="preserve">Antes: </w:t>
      </w:r>
    </w:p>
    <w:p w14:paraId="2670B134" w14:textId="77777777" w:rsidR="00C736C5" w:rsidRPr="006110C3" w:rsidRDefault="00097F6D">
      <w:pPr>
        <w:spacing w:after="200" w:line="276" w:lineRule="auto"/>
        <w:jc w:val="both"/>
        <w:rPr>
          <w:rFonts w:ascii="Vale Sans" w:eastAsia="Times New Roman" w:hAnsi="Vale Sans" w:cs="Times New Roman"/>
          <w:b/>
          <w:bCs/>
          <w:sz w:val="22"/>
          <w:szCs w:val="22"/>
        </w:rPr>
      </w:pPr>
      <w:r w:rsidRPr="006110C3">
        <w:rPr>
          <w:rFonts w:ascii="Vale Sans" w:eastAsia="Times New Roman" w:hAnsi="Vale Sans" w:cs="Times New Roman"/>
          <w:sz w:val="22"/>
          <w:szCs w:val="22"/>
        </w:rPr>
        <w:t xml:space="preserve">Após a definição dos jogos e o trabalho com eles nas aulas de matemática, é hora de abrir as inscrições do torneio. Para garantir uma boa organização, é importante que as e os estudantes, bem como outros possíveis participantes, tenham acesso a todas as regras do torneio com antecedência e possam escolher em qual jogo desejam competir (caso seja selecionado mais de um jogo por torneio). Para esse processo, podem ser elaboradas categorias e chaveamentos que considerem, por exemplo, o agrupamento de diferentes anos escolares, disputados individuais ou em grupos, dentre outros critérios. </w:t>
      </w:r>
    </w:p>
    <w:p w14:paraId="4C4AD88E" w14:textId="77777777" w:rsidR="00C736C5" w:rsidRPr="006110C3" w:rsidRDefault="00097F6D">
      <w:pPr>
        <w:spacing w:before="240" w:after="240" w:line="276" w:lineRule="auto"/>
        <w:jc w:val="both"/>
        <w:rPr>
          <w:rFonts w:ascii="Vale Sans" w:eastAsia="Times New Roman" w:hAnsi="Vale Sans" w:cs="Times New Roman"/>
          <w:sz w:val="22"/>
          <w:szCs w:val="22"/>
          <w:u w:val="single"/>
        </w:rPr>
      </w:pPr>
      <w:r w:rsidRPr="006110C3">
        <w:rPr>
          <w:rFonts w:ascii="Vale Sans" w:eastAsia="Times New Roman" w:hAnsi="Vale Sans" w:cs="Times New Roman"/>
          <w:sz w:val="22"/>
          <w:szCs w:val="22"/>
          <w:u w:val="single"/>
        </w:rPr>
        <w:t xml:space="preserve">Durante: </w:t>
      </w:r>
    </w:p>
    <w:p w14:paraId="6E62900E" w14:textId="518B8EAB" w:rsidR="00C736C5" w:rsidRPr="006110C3" w:rsidRDefault="00097F6D">
      <w:pPr>
        <w:spacing w:before="240" w:after="24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A realização dos torneios requer um espaço intencionalmente preparado, que comunique cuidado e favoreça uma</w:t>
      </w:r>
      <w:r w:rsidR="00616476" w:rsidRPr="006110C3">
        <w:rPr>
          <w:rFonts w:ascii="Vale Sans" w:eastAsia="Times New Roman" w:hAnsi="Vale Sans" w:cs="Times New Roman"/>
          <w:sz w:val="22"/>
          <w:szCs w:val="22"/>
        </w:rPr>
        <w:t xml:space="preserve"> convivência respeitosa e colaborativa </w:t>
      </w:r>
      <w:r w:rsidRPr="006110C3">
        <w:rPr>
          <w:rFonts w:ascii="Vale Sans" w:eastAsia="Times New Roman" w:hAnsi="Vale Sans" w:cs="Times New Roman"/>
          <w:sz w:val="22"/>
          <w:szCs w:val="22"/>
        </w:rPr>
        <w:t xml:space="preserve">entre todos os envolvidos: </w:t>
      </w:r>
      <w:r w:rsidRPr="006110C3">
        <w:rPr>
          <w:rFonts w:ascii="Vale Sans" w:eastAsia="Times New Roman" w:hAnsi="Vale Sans" w:cs="Times New Roman"/>
          <w:color w:val="000000"/>
          <w:sz w:val="22"/>
          <w:szCs w:val="22"/>
        </w:rPr>
        <w:t>mesas</w:t>
      </w:r>
      <w:r w:rsidRPr="006110C3">
        <w:rPr>
          <w:rFonts w:ascii="Vale Sans" w:eastAsia="Times New Roman" w:hAnsi="Vale Sans" w:cs="Times New Roman"/>
          <w:sz w:val="22"/>
          <w:szCs w:val="22"/>
        </w:rPr>
        <w:t xml:space="preserve"> e materiais acessíveis, regras e sinalizações visíveis, organizadores e juízes identificados. A recepção e o </w:t>
      </w:r>
      <w:r w:rsidRPr="006110C3">
        <w:rPr>
          <w:rFonts w:ascii="Vale Sans" w:eastAsia="Times New Roman" w:hAnsi="Vale Sans" w:cs="Times New Roman"/>
          <w:sz w:val="22"/>
          <w:szCs w:val="22"/>
        </w:rPr>
        <w:lastRenderedPageBreak/>
        <w:t xml:space="preserve">acolhimento podem ser conduzidos pela equipe gestora, desde a entrada até a abertura e fechamento/premiação do torneio, garantindo um clima receptivo. </w:t>
      </w:r>
    </w:p>
    <w:p w14:paraId="563D6C6F" w14:textId="77777777" w:rsidR="00C736C5" w:rsidRPr="006110C3" w:rsidRDefault="00097F6D">
      <w:pPr>
        <w:spacing w:before="240" w:after="240" w:line="276" w:lineRule="auto"/>
        <w:jc w:val="both"/>
        <w:rPr>
          <w:rFonts w:ascii="Vale Sans" w:eastAsia="Times New Roman" w:hAnsi="Vale Sans" w:cs="Times New Roman"/>
          <w:sz w:val="22"/>
          <w:szCs w:val="22"/>
          <w:u w:val="single"/>
        </w:rPr>
      </w:pPr>
      <w:r w:rsidRPr="006110C3">
        <w:rPr>
          <w:rFonts w:ascii="Vale Sans" w:eastAsia="Times New Roman" w:hAnsi="Vale Sans" w:cs="Times New Roman"/>
          <w:sz w:val="22"/>
          <w:szCs w:val="22"/>
          <w:u w:val="single"/>
        </w:rPr>
        <w:t xml:space="preserve">Depois: </w:t>
      </w:r>
    </w:p>
    <w:p w14:paraId="0D75C834" w14:textId="77777777" w:rsidR="00C736C5" w:rsidRPr="006110C3" w:rsidRDefault="00097F6D">
      <w:pPr>
        <w:spacing w:before="240" w:after="24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Nas aulas que sucedem imediatamente o torneio, é indicado que seja realizada uma conversa para socialização sobre as experiências vividas, de modo que todos se sintam seguros e confortáveis para novas participações. </w:t>
      </w:r>
    </w:p>
    <w:p w14:paraId="7A8E1940" w14:textId="77777777" w:rsidR="00C736C5" w:rsidRPr="006110C3" w:rsidRDefault="00097F6D">
      <w:pPr>
        <w:spacing w:before="240" w:after="80" w:line="276" w:lineRule="auto"/>
        <w:rPr>
          <w:rFonts w:ascii="Vale Sans" w:eastAsia="Times New Roman" w:hAnsi="Vale Sans" w:cs="Times New Roman"/>
          <w:b/>
          <w:bCs/>
          <w:sz w:val="22"/>
          <w:szCs w:val="22"/>
        </w:rPr>
      </w:pPr>
      <w:r w:rsidRPr="006110C3">
        <w:rPr>
          <w:rFonts w:ascii="Vale Sans" w:eastAsia="Times New Roman" w:hAnsi="Vale Sans" w:cs="Times New Roman"/>
          <w:b/>
          <w:bCs/>
          <w:sz w:val="22"/>
          <w:szCs w:val="22"/>
        </w:rPr>
        <w:t>Frequência</w:t>
      </w:r>
    </w:p>
    <w:p w14:paraId="386BAC74"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Pode-se pensar em torneios mensais, bimestrais ou trimestrais – a frequência, a duração, dia e horário dos torneios dependem dos combinados e encaminhamentos definidos pela equipe escolar.</w:t>
      </w:r>
    </w:p>
    <w:p w14:paraId="17F24055" w14:textId="77777777" w:rsidR="00C82C21" w:rsidRPr="006110C3" w:rsidRDefault="00C82C21" w:rsidP="00C82C21">
      <w:pPr>
        <w:spacing w:before="240" w:after="80" w:line="276" w:lineRule="auto"/>
        <w:jc w:val="both"/>
        <w:rPr>
          <w:rFonts w:ascii="Vale Sans" w:eastAsia="Times New Roman" w:hAnsi="Vale Sans" w:cs="Times New Roman"/>
          <w:sz w:val="22"/>
          <w:szCs w:val="22"/>
        </w:rPr>
      </w:pPr>
    </w:p>
    <w:p w14:paraId="02FEF37D" w14:textId="77777777" w:rsidR="00132BC4" w:rsidRPr="006110C3" w:rsidRDefault="00132BC4" w:rsidP="00132BC4">
      <w:pPr>
        <w:spacing w:line="360" w:lineRule="auto"/>
        <w:jc w:val="both"/>
        <w:rPr>
          <w:rFonts w:ascii="Vale Sans" w:eastAsia="Barlow" w:hAnsi="Vale Sans" w:cs="Times New Roman"/>
          <w:b/>
          <w:bCs/>
          <w:sz w:val="22"/>
          <w:szCs w:val="22"/>
        </w:rPr>
      </w:pPr>
      <w:r w:rsidRPr="006110C3">
        <w:rPr>
          <w:rFonts w:ascii="Vale Sans" w:eastAsia="Barlow" w:hAnsi="Vale Sans" w:cs="Times New Roman"/>
          <w:b/>
          <w:bCs/>
          <w:sz w:val="22"/>
          <w:szCs w:val="22"/>
        </w:rPr>
        <w:t xml:space="preserve">ETAPAS DA AÇÃO </w:t>
      </w:r>
    </w:p>
    <w:p w14:paraId="09CFAA33" w14:textId="77777777" w:rsidR="00132BC4" w:rsidRPr="006110C3" w:rsidRDefault="00132BC4" w:rsidP="00132BC4">
      <w:pPr>
        <w:spacing w:line="360" w:lineRule="auto"/>
        <w:jc w:val="both"/>
        <w:rPr>
          <w:rFonts w:ascii="Vale Sans" w:eastAsia="Barlow" w:hAnsi="Vale Sans" w:cs="Times New Roman"/>
          <w:b/>
          <w:bCs/>
          <w:sz w:val="22"/>
          <w:szCs w:val="22"/>
        </w:rPr>
      </w:pPr>
    </w:p>
    <w:p w14:paraId="7EC12B4F" w14:textId="77777777" w:rsidR="00132BC4" w:rsidRPr="006110C3" w:rsidRDefault="00132BC4" w:rsidP="00132BC4">
      <w:pPr>
        <w:spacing w:line="360" w:lineRule="auto"/>
        <w:jc w:val="both"/>
        <w:rPr>
          <w:rFonts w:ascii="Vale Sans" w:hAnsi="Vale Sans" w:cs="Times New Roman"/>
          <w:sz w:val="22"/>
          <w:szCs w:val="22"/>
        </w:rPr>
      </w:pPr>
      <w:r w:rsidRPr="006110C3">
        <w:rPr>
          <w:rFonts w:ascii="Vale Sans" w:hAnsi="Vale Sans" w:cs="Times New Roman"/>
          <w:sz w:val="22"/>
          <w:szCs w:val="22"/>
        </w:rPr>
        <w:t>No processo de implementação da ação, são necessários encaminhamentos considerando a gestão de pessoas, do acompanhamento da ação e das aprendizagens realizadas pelas e pelos estudantes, do tempo, dos processos, dos recursos e dos espaços. Compartilhamos aqui os encaminhamentos necessários para que a equipe gestora possa planejar, implementar, acompanhar e avaliar a ação institucional:</w:t>
      </w:r>
    </w:p>
    <w:p w14:paraId="1FF78BB4" w14:textId="77777777" w:rsidR="00132BC4" w:rsidRPr="006110C3" w:rsidRDefault="00132BC4" w:rsidP="00132BC4">
      <w:pPr>
        <w:spacing w:line="360" w:lineRule="auto"/>
        <w:jc w:val="both"/>
        <w:rPr>
          <w:rFonts w:ascii="Vale Sans" w:hAnsi="Vale Sans" w:cs="Times New Roman"/>
          <w:sz w:val="22"/>
          <w:szCs w:val="22"/>
        </w:rPr>
      </w:pPr>
    </w:p>
    <w:p w14:paraId="53A78327" w14:textId="77777777" w:rsidR="00132BC4" w:rsidRPr="006110C3" w:rsidRDefault="00132BC4" w:rsidP="00132BC4">
      <w:pPr>
        <w:spacing w:line="360" w:lineRule="auto"/>
        <w:jc w:val="both"/>
        <w:rPr>
          <w:rFonts w:ascii="Vale Sans" w:hAnsi="Vale Sans" w:cs="Times New Roman"/>
          <w:b/>
          <w:bCs/>
          <w:sz w:val="22"/>
          <w:szCs w:val="22"/>
        </w:rPr>
      </w:pPr>
      <w:r w:rsidRPr="006110C3">
        <w:rPr>
          <w:rFonts w:ascii="Vale Sans" w:hAnsi="Vale Sans" w:cs="Times New Roman"/>
          <w:b/>
          <w:bCs/>
          <w:sz w:val="22"/>
          <w:szCs w:val="22"/>
        </w:rPr>
        <w:t>1. Organizar e realizar reunião com professoras e professores</w:t>
      </w:r>
    </w:p>
    <w:p w14:paraId="5C5F5DD6" w14:textId="77777777" w:rsidR="00132BC4" w:rsidRPr="006110C3" w:rsidRDefault="00132BC4" w:rsidP="00132BC4">
      <w:pPr>
        <w:spacing w:line="360" w:lineRule="auto"/>
        <w:jc w:val="both"/>
        <w:rPr>
          <w:rFonts w:ascii="Vale Sans" w:hAnsi="Vale Sans" w:cs="Times New Roman"/>
          <w:sz w:val="22"/>
          <w:szCs w:val="22"/>
        </w:rPr>
      </w:pPr>
      <w:r w:rsidRPr="006110C3">
        <w:rPr>
          <w:rFonts w:ascii="Vale Sans" w:hAnsi="Vale Sans" w:cs="Times New Roman"/>
          <w:sz w:val="22"/>
          <w:szCs w:val="22"/>
        </w:rPr>
        <w:t>Planejar a pauta da reunião com docentes considerando envolvê-los na ação institucional:</w:t>
      </w:r>
    </w:p>
    <w:p w14:paraId="519FBF72"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sz w:val="22"/>
          <w:szCs w:val="22"/>
        </w:rPr>
      </w:pPr>
      <w:r w:rsidRPr="006110C3">
        <w:rPr>
          <w:rFonts w:ascii="Vale Sans" w:hAnsi="Vale Sans" w:cs="Times New Roman"/>
          <w:sz w:val="22"/>
          <w:szCs w:val="22"/>
        </w:rPr>
        <w:t>Como explicitar conquistas que podem ser alcançadas pelas e pelos estudantes, por meio da ação institucional?</w:t>
      </w:r>
    </w:p>
    <w:p w14:paraId="7880570C"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sz w:val="22"/>
          <w:szCs w:val="22"/>
        </w:rPr>
      </w:pPr>
      <w:r w:rsidRPr="006110C3">
        <w:rPr>
          <w:rFonts w:ascii="Vale Sans" w:hAnsi="Vale Sans" w:cs="Times New Roman"/>
          <w:sz w:val="22"/>
          <w:szCs w:val="22"/>
        </w:rPr>
        <w:t>Quais estudantes participarão dessa atividade? Que turmas estarão envolvidas?</w:t>
      </w:r>
    </w:p>
    <w:p w14:paraId="6E985101"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sz w:val="22"/>
          <w:szCs w:val="22"/>
        </w:rPr>
      </w:pPr>
      <w:r w:rsidRPr="006110C3">
        <w:rPr>
          <w:rFonts w:ascii="Vale Sans" w:hAnsi="Vale Sans" w:cs="Times New Roman"/>
          <w:sz w:val="22"/>
          <w:szCs w:val="22"/>
        </w:rPr>
        <w:t>Em que momento da rotina a ação será realizada? Pode variar a depender da turma?</w:t>
      </w:r>
    </w:p>
    <w:p w14:paraId="6468980F"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sz w:val="22"/>
          <w:szCs w:val="22"/>
        </w:rPr>
      </w:pPr>
      <w:r w:rsidRPr="006110C3">
        <w:rPr>
          <w:rFonts w:ascii="Vale Sans" w:hAnsi="Vale Sans" w:cs="Times New Roman"/>
          <w:sz w:val="22"/>
          <w:szCs w:val="22"/>
        </w:rPr>
        <w:t>Com que frequência acontecerá: Semanalmente? Quinzenalmente? Mensalmente?</w:t>
      </w:r>
    </w:p>
    <w:p w14:paraId="1B9E6BAA"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sz w:val="22"/>
          <w:szCs w:val="22"/>
        </w:rPr>
      </w:pPr>
      <w:r w:rsidRPr="006110C3">
        <w:rPr>
          <w:rFonts w:ascii="Vale Sans" w:hAnsi="Vale Sans" w:cs="Times New Roman"/>
          <w:sz w:val="22"/>
          <w:szCs w:val="22"/>
        </w:rPr>
        <w:t>Qual o encaminhamento da reunião para que todas e todos possam iniciar o planejamento da ação?</w:t>
      </w:r>
    </w:p>
    <w:p w14:paraId="27952809" w14:textId="77777777" w:rsidR="00132BC4" w:rsidRPr="006110C3" w:rsidRDefault="00132BC4" w:rsidP="00132BC4">
      <w:pPr>
        <w:spacing w:line="360" w:lineRule="auto"/>
        <w:jc w:val="both"/>
        <w:rPr>
          <w:rFonts w:ascii="Vale Sans" w:hAnsi="Vale Sans" w:cs="Times New Roman"/>
          <w:sz w:val="22"/>
          <w:szCs w:val="22"/>
        </w:rPr>
      </w:pPr>
    </w:p>
    <w:p w14:paraId="202D9B7E" w14:textId="77777777" w:rsidR="00132BC4" w:rsidRPr="006110C3" w:rsidRDefault="00132BC4" w:rsidP="00132BC4">
      <w:pPr>
        <w:tabs>
          <w:tab w:val="left" w:pos="284"/>
        </w:tabs>
        <w:spacing w:line="360" w:lineRule="auto"/>
        <w:jc w:val="both"/>
        <w:rPr>
          <w:rFonts w:ascii="Vale Sans" w:hAnsi="Vale Sans" w:cs="Times New Roman"/>
          <w:b/>
          <w:bCs/>
          <w:sz w:val="22"/>
          <w:szCs w:val="22"/>
        </w:rPr>
      </w:pPr>
      <w:r w:rsidRPr="006110C3">
        <w:rPr>
          <w:rFonts w:ascii="Vale Sans" w:hAnsi="Vale Sans" w:cs="Times New Roman"/>
          <w:b/>
          <w:bCs/>
          <w:sz w:val="22"/>
          <w:szCs w:val="22"/>
        </w:rPr>
        <w:t>2. Reunir ideias das e dos estudantes para planejar a ação.</w:t>
      </w:r>
    </w:p>
    <w:p w14:paraId="10B2E96C" w14:textId="77777777" w:rsidR="00132BC4" w:rsidRPr="006110C3" w:rsidRDefault="00132BC4" w:rsidP="00132BC4">
      <w:pPr>
        <w:spacing w:line="360" w:lineRule="auto"/>
        <w:jc w:val="both"/>
        <w:rPr>
          <w:rFonts w:ascii="Vale Sans" w:hAnsi="Vale Sans" w:cs="Times New Roman"/>
          <w:sz w:val="22"/>
          <w:szCs w:val="22"/>
        </w:rPr>
      </w:pPr>
    </w:p>
    <w:p w14:paraId="3AB19400" w14:textId="77777777" w:rsidR="00132BC4" w:rsidRPr="006110C3" w:rsidRDefault="00132BC4" w:rsidP="00132BC4">
      <w:pPr>
        <w:spacing w:line="360" w:lineRule="auto"/>
        <w:jc w:val="both"/>
        <w:rPr>
          <w:rFonts w:ascii="Vale Sans" w:hAnsi="Vale Sans" w:cs="Times New Roman"/>
          <w:b/>
          <w:bCs/>
          <w:sz w:val="22"/>
          <w:szCs w:val="22"/>
        </w:rPr>
      </w:pPr>
      <w:r w:rsidRPr="006110C3">
        <w:rPr>
          <w:rFonts w:ascii="Vale Sans" w:hAnsi="Vale Sans" w:cs="Times New Roman"/>
          <w:b/>
          <w:bCs/>
          <w:sz w:val="22"/>
          <w:szCs w:val="22"/>
        </w:rPr>
        <w:t>3. Organizar percurso de ações formativas com docentes</w:t>
      </w:r>
    </w:p>
    <w:p w14:paraId="49878D94"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sz w:val="22"/>
          <w:szCs w:val="22"/>
        </w:rPr>
      </w:pPr>
      <w:r w:rsidRPr="006110C3">
        <w:rPr>
          <w:rFonts w:ascii="Vale Sans" w:hAnsi="Vale Sans" w:cs="Times New Roman"/>
          <w:sz w:val="22"/>
          <w:szCs w:val="22"/>
        </w:rPr>
        <w:t>Assegurar que a coordenação pedagógica apoie docentes no planejamento de situações didáticas envolvendo Práticas de Linguagem ou Matemática.</w:t>
      </w:r>
    </w:p>
    <w:p w14:paraId="704F4ED7"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sz w:val="22"/>
          <w:szCs w:val="22"/>
        </w:rPr>
      </w:pPr>
      <w:r w:rsidRPr="006110C3">
        <w:rPr>
          <w:rFonts w:ascii="Vale Sans" w:hAnsi="Vale Sans" w:cs="Times New Roman"/>
          <w:sz w:val="22"/>
          <w:szCs w:val="22"/>
        </w:rPr>
        <w:t>Definir possibilidades de atuação da coordenação pedagógica em torno da formação continuada de docentes com foco na implementação da ação institucional.</w:t>
      </w:r>
    </w:p>
    <w:p w14:paraId="2D907369"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sz w:val="22"/>
          <w:szCs w:val="22"/>
        </w:rPr>
      </w:pPr>
      <w:r w:rsidRPr="006110C3">
        <w:rPr>
          <w:rFonts w:ascii="Vale Sans" w:hAnsi="Vale Sans" w:cs="Times New Roman"/>
          <w:sz w:val="22"/>
          <w:szCs w:val="22"/>
        </w:rPr>
        <w:t>Definir possibilidades de atuação da coordenação pedagógica em torno do acompanhamento das práticas pedagógicas realizadas em sala de aula.</w:t>
      </w:r>
    </w:p>
    <w:p w14:paraId="19A84CCD"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sz w:val="22"/>
          <w:szCs w:val="22"/>
        </w:rPr>
      </w:pPr>
      <w:r w:rsidRPr="006110C3">
        <w:rPr>
          <w:rFonts w:ascii="Vale Sans" w:hAnsi="Vale Sans" w:cs="Times New Roman"/>
          <w:sz w:val="22"/>
          <w:szCs w:val="22"/>
        </w:rPr>
        <w:lastRenderedPageBreak/>
        <w:t>Definir possibilidades de atuação da coordenação pedagógica em torno do acompanhamento das aprendizagens dos estudantes.</w:t>
      </w:r>
    </w:p>
    <w:p w14:paraId="68971D27" w14:textId="77777777" w:rsidR="00132BC4" w:rsidRPr="006110C3" w:rsidRDefault="00132BC4" w:rsidP="00132BC4">
      <w:pPr>
        <w:spacing w:line="360" w:lineRule="auto"/>
        <w:jc w:val="both"/>
        <w:rPr>
          <w:rFonts w:ascii="Vale Sans" w:hAnsi="Vale Sans" w:cs="Times New Roman"/>
          <w:sz w:val="22"/>
          <w:szCs w:val="22"/>
        </w:rPr>
      </w:pPr>
    </w:p>
    <w:p w14:paraId="0846425B" w14:textId="77777777" w:rsidR="00132BC4" w:rsidRPr="006110C3" w:rsidRDefault="00132BC4" w:rsidP="00132BC4">
      <w:pPr>
        <w:spacing w:line="360" w:lineRule="auto"/>
        <w:jc w:val="both"/>
        <w:rPr>
          <w:rFonts w:ascii="Vale Sans" w:hAnsi="Vale Sans" w:cs="Times New Roman"/>
          <w:b/>
          <w:bCs/>
          <w:sz w:val="22"/>
          <w:szCs w:val="22"/>
        </w:rPr>
      </w:pPr>
      <w:r w:rsidRPr="006110C3">
        <w:rPr>
          <w:rFonts w:ascii="Vale Sans" w:hAnsi="Vale Sans" w:cs="Times New Roman"/>
          <w:b/>
          <w:bCs/>
          <w:sz w:val="22"/>
          <w:szCs w:val="22"/>
        </w:rPr>
        <w:t>4. Acompanhamento da implementação da ação</w:t>
      </w:r>
    </w:p>
    <w:p w14:paraId="0A6C40BA"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b/>
          <w:color w:val="0070C0"/>
          <w:sz w:val="22"/>
          <w:szCs w:val="22"/>
        </w:rPr>
      </w:pPr>
      <w:r w:rsidRPr="006110C3">
        <w:rPr>
          <w:rFonts w:ascii="Vale Sans" w:hAnsi="Vale Sans" w:cs="Times New Roman"/>
          <w:sz w:val="22"/>
          <w:szCs w:val="22"/>
        </w:rPr>
        <w:t>Acompanhar as etapas da implementação da ação, documentando o processo.</w:t>
      </w:r>
    </w:p>
    <w:p w14:paraId="75FBE4BA" w14:textId="77777777" w:rsidR="00132BC4" w:rsidRPr="006110C3" w:rsidRDefault="00132BC4" w:rsidP="00132BC4">
      <w:pPr>
        <w:pStyle w:val="PargrafodaLista"/>
        <w:numPr>
          <w:ilvl w:val="0"/>
          <w:numId w:val="5"/>
        </w:numPr>
        <w:tabs>
          <w:tab w:val="left" w:pos="426"/>
        </w:tabs>
        <w:spacing w:after="0" w:line="360" w:lineRule="auto"/>
        <w:ind w:left="284" w:firstLine="0"/>
        <w:contextualSpacing w:val="0"/>
        <w:jc w:val="both"/>
        <w:rPr>
          <w:rFonts w:ascii="Vale Sans" w:hAnsi="Vale Sans" w:cs="Times New Roman"/>
          <w:sz w:val="22"/>
          <w:szCs w:val="22"/>
        </w:rPr>
      </w:pPr>
      <w:r w:rsidRPr="006110C3">
        <w:rPr>
          <w:rFonts w:ascii="Vale Sans" w:hAnsi="Vale Sans" w:cs="Times New Roman"/>
          <w:sz w:val="22"/>
          <w:szCs w:val="22"/>
        </w:rPr>
        <w:t xml:space="preserve">Dar visibilidade para a ação implementada, engajando a comunidade escolar.: </w:t>
      </w:r>
    </w:p>
    <w:p w14:paraId="5B82A682" w14:textId="77777777" w:rsidR="00132BC4" w:rsidRPr="006110C3" w:rsidRDefault="00132BC4" w:rsidP="00132BC4">
      <w:pPr>
        <w:tabs>
          <w:tab w:val="left" w:pos="426"/>
        </w:tabs>
        <w:spacing w:line="360" w:lineRule="auto"/>
        <w:jc w:val="both"/>
        <w:rPr>
          <w:rFonts w:ascii="Vale Sans" w:hAnsi="Vale Sans" w:cs="Times New Roman"/>
          <w:b/>
          <w:bCs/>
          <w:sz w:val="22"/>
          <w:szCs w:val="22"/>
        </w:rPr>
      </w:pPr>
      <w:r w:rsidRPr="006110C3">
        <w:rPr>
          <w:rFonts w:ascii="Vale Sans" w:hAnsi="Vale Sans" w:cs="Times New Roman"/>
          <w:b/>
          <w:bCs/>
          <w:sz w:val="22"/>
          <w:szCs w:val="22"/>
        </w:rPr>
        <w:t>4. 1. Acompanhamento das aprendizagens realizadas pelas e pelos estudantes</w:t>
      </w:r>
    </w:p>
    <w:p w14:paraId="3E3ABBA4" w14:textId="77777777" w:rsidR="00132BC4" w:rsidRPr="006110C3" w:rsidRDefault="00132BC4" w:rsidP="00132BC4">
      <w:pPr>
        <w:spacing w:line="360" w:lineRule="auto"/>
        <w:jc w:val="both"/>
        <w:rPr>
          <w:rFonts w:ascii="Vale Sans" w:hAnsi="Vale Sans" w:cs="Times New Roman"/>
          <w:sz w:val="22"/>
          <w:szCs w:val="22"/>
        </w:rPr>
      </w:pPr>
      <w:r w:rsidRPr="006110C3">
        <w:rPr>
          <w:rFonts w:ascii="Vale Sans" w:hAnsi="Vale Sans" w:cs="Times New Roman"/>
          <w:sz w:val="22"/>
          <w:szCs w:val="22"/>
        </w:rPr>
        <w:t>Alguns indicadores que podem orientar o acompanhamento contínuo da equipe gestora relacionados as práticas docentes e às aprendizagens das e dos estudantes encontram-se detalhados nas fichas, articulados com as ações institucionais.</w:t>
      </w:r>
    </w:p>
    <w:p w14:paraId="6E3D6A6D" w14:textId="77777777" w:rsidR="00132BC4" w:rsidRPr="006110C3" w:rsidRDefault="00132BC4" w:rsidP="00132BC4">
      <w:pPr>
        <w:spacing w:line="360" w:lineRule="auto"/>
        <w:jc w:val="both"/>
        <w:rPr>
          <w:rFonts w:ascii="Vale Sans" w:hAnsi="Vale Sans" w:cs="Times New Roman"/>
          <w:sz w:val="22"/>
          <w:szCs w:val="22"/>
        </w:rPr>
      </w:pPr>
    </w:p>
    <w:p w14:paraId="4528CE5C" w14:textId="77777777" w:rsidR="00132BC4" w:rsidRPr="006110C3" w:rsidRDefault="00132BC4" w:rsidP="00132BC4">
      <w:pPr>
        <w:spacing w:line="360" w:lineRule="auto"/>
        <w:jc w:val="both"/>
        <w:rPr>
          <w:rFonts w:ascii="Vale Sans" w:hAnsi="Vale Sans" w:cs="Times New Roman"/>
          <w:b/>
          <w:bCs/>
          <w:sz w:val="22"/>
          <w:szCs w:val="22"/>
        </w:rPr>
      </w:pPr>
      <w:r w:rsidRPr="006110C3">
        <w:rPr>
          <w:rFonts w:ascii="Vale Sans" w:hAnsi="Vale Sans" w:cs="Times New Roman"/>
          <w:b/>
          <w:bCs/>
          <w:sz w:val="22"/>
          <w:szCs w:val="22"/>
        </w:rPr>
        <w:t>5. Documentar e avaliar a ação implementada</w:t>
      </w:r>
    </w:p>
    <w:p w14:paraId="49817584" w14:textId="77777777" w:rsidR="00132BC4" w:rsidRPr="006110C3" w:rsidRDefault="00132BC4" w:rsidP="00132BC4">
      <w:pPr>
        <w:spacing w:before="240" w:line="360" w:lineRule="auto"/>
        <w:jc w:val="both"/>
        <w:rPr>
          <w:rFonts w:ascii="Vale Sans" w:hAnsi="Vale Sans" w:cs="Times New Roman"/>
          <w:sz w:val="22"/>
          <w:szCs w:val="22"/>
        </w:rPr>
      </w:pPr>
      <w:r w:rsidRPr="006110C3">
        <w:rPr>
          <w:rFonts w:ascii="Vale Sans" w:hAnsi="Vale Sans" w:cs="Times New Roman"/>
          <w:sz w:val="22"/>
          <w:szCs w:val="22"/>
        </w:rPr>
        <w:t>O registro e a documentação são competências a serem desenvolvidas pelos Gestores Escolares; são antes processos de gestão muito relevantes que permitem construir a memória do percurso vivido, retomando o processo considerando diferentes momentos relacionados às etapas da implementação da ação. É importante que a diretora/o diretor faça registros meio de fotos de momentos e cenas interessantes, vídeos, registros escritos pelas e pelos estudantes ou produzidos pelas professoras e professores, pelos familiares e pessoas da comunidade, ao longo de toda a implementação.</w:t>
      </w:r>
    </w:p>
    <w:p w14:paraId="0686177B" w14:textId="77777777" w:rsidR="00132BC4" w:rsidRPr="006110C3" w:rsidRDefault="00132BC4" w:rsidP="00132BC4">
      <w:pPr>
        <w:spacing w:before="240" w:line="360" w:lineRule="auto"/>
        <w:jc w:val="both"/>
        <w:rPr>
          <w:rFonts w:ascii="Vale Sans" w:eastAsia="Barlow" w:hAnsi="Vale Sans" w:cs="Times New Roman"/>
          <w:sz w:val="22"/>
          <w:szCs w:val="22"/>
        </w:rPr>
      </w:pPr>
      <w:r w:rsidRPr="006110C3">
        <w:rPr>
          <w:rFonts w:ascii="Vale Sans" w:eastAsia="Barlow" w:hAnsi="Vale Sans" w:cs="Times New Roman"/>
          <w:sz w:val="22"/>
          <w:szCs w:val="22"/>
        </w:rPr>
        <w:t>Essa documentação constituída por evidências dá vida à escola, às relações e são fundamentais no processo de institucionalização de práticas pedagógicas assumidas.</w:t>
      </w:r>
    </w:p>
    <w:p w14:paraId="613F8AF2" w14:textId="77777777" w:rsidR="00132BC4" w:rsidRPr="006110C3" w:rsidRDefault="00132BC4" w:rsidP="00132BC4">
      <w:pPr>
        <w:spacing w:line="360" w:lineRule="auto"/>
        <w:jc w:val="both"/>
        <w:rPr>
          <w:rFonts w:ascii="Vale Sans" w:hAnsi="Vale Sans" w:cs="Times New Roman"/>
          <w:sz w:val="22"/>
          <w:szCs w:val="22"/>
        </w:rPr>
      </w:pPr>
      <w:r w:rsidRPr="006110C3">
        <w:rPr>
          <w:rFonts w:ascii="Vale Sans" w:hAnsi="Vale Sans" w:cs="Times New Roman"/>
          <w:sz w:val="22"/>
          <w:szCs w:val="22"/>
        </w:rPr>
        <w:t xml:space="preserve">Em relação a </w:t>
      </w:r>
      <w:r w:rsidRPr="006110C3">
        <w:rPr>
          <w:rFonts w:ascii="Vale Sans" w:hAnsi="Vale Sans" w:cs="Times New Roman"/>
          <w:b/>
          <w:bCs/>
          <w:sz w:val="22"/>
          <w:szCs w:val="22"/>
        </w:rPr>
        <w:t xml:space="preserve">avaliação </w:t>
      </w:r>
      <w:r w:rsidRPr="006110C3">
        <w:rPr>
          <w:rFonts w:ascii="Vale Sans" w:hAnsi="Vale Sans" w:cs="Times New Roman"/>
          <w:sz w:val="22"/>
          <w:szCs w:val="22"/>
        </w:rPr>
        <w:t>da ação é necessário fazê-la com a equipe pedagógica e também com as e os estudantes.</w:t>
      </w:r>
    </w:p>
    <w:p w14:paraId="5DC247C5" w14:textId="77777777" w:rsidR="00132BC4" w:rsidRPr="006110C3" w:rsidRDefault="00132BC4" w:rsidP="00132BC4">
      <w:pPr>
        <w:spacing w:line="360" w:lineRule="auto"/>
        <w:jc w:val="both"/>
        <w:rPr>
          <w:rFonts w:ascii="Vale Sans" w:hAnsi="Vale Sans" w:cs="Times New Roman"/>
          <w:sz w:val="22"/>
          <w:szCs w:val="22"/>
        </w:rPr>
      </w:pPr>
      <w:r w:rsidRPr="006110C3">
        <w:rPr>
          <w:rFonts w:ascii="Vale Sans" w:hAnsi="Vale Sans" w:cs="Times New Roman"/>
          <w:sz w:val="22"/>
          <w:szCs w:val="22"/>
        </w:rPr>
        <w:t>A avaliação contínua das etapas da ação pode trazer muitas informações que permitam ajustes de rota durante o processo. Importante retomar os objetivos da ação e avaliar com a equipe se houve avanços nas aprendizagens das e dos estudantes, se houve avanços na capacidade argumentativa, se</w:t>
      </w:r>
      <w:r w:rsidRPr="006110C3">
        <w:rPr>
          <w:rFonts w:ascii="Vale Sans" w:eastAsia="Barlow" w:hAnsi="Vale Sans" w:cs="Times New Roman"/>
          <w:sz w:val="22"/>
          <w:szCs w:val="22"/>
        </w:rPr>
        <w:t xml:space="preserve"> estão se expressando melhor, se contam com uma escuta mais apurada, se estão utilizando estratégias mais eficientes, </w:t>
      </w:r>
      <w:r w:rsidRPr="006110C3">
        <w:rPr>
          <w:rFonts w:ascii="Vale Sans" w:hAnsi="Vale Sans" w:cs="Times New Roman"/>
          <w:sz w:val="22"/>
          <w:szCs w:val="22"/>
        </w:rPr>
        <w:t>que pontos merecem atenção e podem ser aperfeiçoados e quais foram as aprendizagens realizadas pelos educadores na organização do trabalho pedagógico no que diz respeito aos espaços, tempos e relações. Com o apoio da coordenação pedagógica e do registro das informações anteriores, essas informações ajudarão a equipe gestora a planejar ou replanejar a continuidade de ações com foco na aprendizagem das e dos estudantes.</w:t>
      </w:r>
    </w:p>
    <w:p w14:paraId="014832F4" w14:textId="77777777" w:rsidR="00132BC4" w:rsidRPr="006110C3" w:rsidRDefault="00132BC4" w:rsidP="00132BC4">
      <w:pPr>
        <w:spacing w:line="360" w:lineRule="auto"/>
        <w:jc w:val="both"/>
        <w:rPr>
          <w:rFonts w:ascii="Vale Sans" w:hAnsi="Vale Sans" w:cs="Times New Roman"/>
          <w:sz w:val="22"/>
          <w:szCs w:val="22"/>
        </w:rPr>
      </w:pPr>
      <w:r w:rsidRPr="006110C3">
        <w:rPr>
          <w:rFonts w:ascii="Vale Sans" w:hAnsi="Vale Sans" w:cs="Times New Roman"/>
          <w:sz w:val="22"/>
          <w:szCs w:val="22"/>
        </w:rPr>
        <w:t xml:space="preserve">A avaliação da ação pode ser realizada por meio de reunião de avaliação com equipe pedagógica, com professoras/es), analisando os impactos da ação na ampliação do repertório cultural, na aprendizagem das e dos estudantes das práticas de linguagem e também para as relações étnico raciais e, pluralidade cultural na escola. </w:t>
      </w:r>
    </w:p>
    <w:p w14:paraId="49D75AB6" w14:textId="77777777" w:rsidR="00132BC4" w:rsidRPr="006110C3" w:rsidRDefault="00132BC4" w:rsidP="00132BC4">
      <w:pPr>
        <w:spacing w:line="360" w:lineRule="auto"/>
        <w:jc w:val="both"/>
        <w:rPr>
          <w:rFonts w:ascii="Vale Sans" w:hAnsi="Vale Sans" w:cs="Times New Roman"/>
          <w:sz w:val="22"/>
          <w:szCs w:val="22"/>
        </w:rPr>
      </w:pPr>
      <w:r w:rsidRPr="006110C3">
        <w:rPr>
          <w:rFonts w:ascii="Vale Sans" w:hAnsi="Vale Sans" w:cs="Times New Roman"/>
          <w:sz w:val="22"/>
          <w:szCs w:val="22"/>
        </w:rPr>
        <w:lastRenderedPageBreak/>
        <w:t>Precisa também ser realizada com estudantes participantes por meio de um encontro, uma roda de conversa em que possam pensar sobre como viram os encontros e que sugestões possuem.</w:t>
      </w:r>
    </w:p>
    <w:p w14:paraId="65BFC811" w14:textId="77777777" w:rsidR="00132BC4" w:rsidRPr="006110C3" w:rsidRDefault="00132BC4" w:rsidP="00132BC4">
      <w:pPr>
        <w:spacing w:line="360" w:lineRule="auto"/>
        <w:jc w:val="both"/>
        <w:rPr>
          <w:rFonts w:ascii="Vale Sans" w:hAnsi="Vale Sans" w:cs="Times New Roman"/>
          <w:sz w:val="22"/>
          <w:szCs w:val="22"/>
        </w:rPr>
      </w:pPr>
      <w:r w:rsidRPr="006110C3">
        <w:rPr>
          <w:rFonts w:ascii="Vale Sans" w:hAnsi="Vale Sans" w:cs="Times New Roman"/>
          <w:sz w:val="22"/>
          <w:szCs w:val="22"/>
        </w:rPr>
        <w:t>É importante que sejam feitos registros da avaliação da ação sobretudo dos ajustes que foram realizados e como o trabalho pode ser continuado.</w:t>
      </w:r>
    </w:p>
    <w:p w14:paraId="15C3AFE4" w14:textId="77777777" w:rsidR="00C736C5" w:rsidRPr="006110C3" w:rsidRDefault="00C736C5">
      <w:pPr>
        <w:spacing w:after="200" w:line="276" w:lineRule="auto"/>
        <w:jc w:val="both"/>
        <w:rPr>
          <w:rFonts w:ascii="Vale Sans" w:eastAsia="Times New Roman" w:hAnsi="Vale Sans" w:cs="Times New Roman"/>
          <w:b/>
          <w:bCs/>
          <w:sz w:val="22"/>
          <w:szCs w:val="22"/>
        </w:rPr>
      </w:pPr>
    </w:p>
    <w:p w14:paraId="237E2F38" w14:textId="77777777" w:rsidR="00C736C5" w:rsidRPr="006110C3" w:rsidRDefault="00C736C5">
      <w:pPr>
        <w:spacing w:after="80" w:line="276" w:lineRule="auto"/>
        <w:rPr>
          <w:rFonts w:ascii="Vale Sans" w:eastAsia="Times New Roman" w:hAnsi="Vale Sans" w:cs="Times New Roman"/>
          <w:sz w:val="22"/>
          <w:szCs w:val="22"/>
        </w:rPr>
      </w:pPr>
    </w:p>
    <w:p w14:paraId="3AE634EF" w14:textId="77777777" w:rsidR="00C736C5" w:rsidRPr="006110C3" w:rsidRDefault="00097F6D">
      <w:pPr>
        <w:spacing w:after="80" w:line="276" w:lineRule="auto"/>
        <w:rPr>
          <w:rFonts w:ascii="Vale Sans" w:eastAsia="Times New Roman" w:hAnsi="Vale Sans" w:cs="Times New Roman"/>
          <w:b/>
          <w:bCs/>
          <w:sz w:val="22"/>
          <w:szCs w:val="22"/>
        </w:rPr>
      </w:pPr>
      <w:r w:rsidRPr="006110C3">
        <w:rPr>
          <w:rFonts w:ascii="Vale Sans" w:eastAsia="Times New Roman" w:hAnsi="Vale Sans" w:cs="Times New Roman"/>
          <w:b/>
          <w:bCs/>
          <w:sz w:val="22"/>
          <w:szCs w:val="22"/>
        </w:rPr>
        <w:t>Acompanhamento e avaliação do desenvolvimento da ação</w:t>
      </w:r>
      <w:r w:rsidRPr="006110C3">
        <w:rPr>
          <w:rFonts w:ascii="Vale Sans" w:eastAsia="Times New Roman" w:hAnsi="Vale Sans" w:cs="Times New Roman"/>
          <w:b/>
          <w:bCs/>
          <w:sz w:val="22"/>
          <w:szCs w:val="22"/>
        </w:rPr>
        <w:br/>
      </w:r>
    </w:p>
    <w:p w14:paraId="2C899A81" w14:textId="77777777" w:rsidR="00C736C5" w:rsidRPr="006110C3" w:rsidRDefault="00097F6D">
      <w:pPr>
        <w:spacing w:after="8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Alguns indicadores que podem orientar o acompanhamento contínuo da equipe gestora dos </w:t>
      </w:r>
      <w:r w:rsidRPr="006110C3">
        <w:rPr>
          <w:rFonts w:ascii="Vale Sans" w:eastAsia="Times New Roman" w:hAnsi="Vale Sans" w:cs="Times New Roman"/>
          <w:i/>
          <w:iCs/>
          <w:sz w:val="22"/>
          <w:szCs w:val="22"/>
        </w:rPr>
        <w:t>Torneios de Jogos Matemáticos Africanos e Indígenas</w:t>
      </w:r>
      <w:r w:rsidRPr="006110C3">
        <w:rPr>
          <w:rFonts w:ascii="Vale Sans" w:eastAsia="Times New Roman" w:hAnsi="Vale Sans" w:cs="Times New Roman"/>
          <w:sz w:val="22"/>
          <w:szCs w:val="22"/>
        </w:rPr>
        <w:t xml:space="preserve">.  </w:t>
      </w:r>
    </w:p>
    <w:p w14:paraId="35F90CFF" w14:textId="77777777" w:rsidR="00C736C5" w:rsidRPr="006110C3" w:rsidRDefault="00097F6D">
      <w:pPr>
        <w:spacing w:after="6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u w:val="single"/>
        </w:rPr>
        <w:t>Em relação às e aos estudantes</w:t>
      </w:r>
    </w:p>
    <w:p w14:paraId="2E746D14" w14:textId="77777777" w:rsidR="00C736C5" w:rsidRPr="006110C3" w:rsidRDefault="00097F6D">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Engajamento e entusiasmo para participar dos torneios: ao longo do tempo, é ampliado o número de estudantes que demonstram interesse em participar dos torneios e pedem para repetir a experiência? </w:t>
      </w:r>
    </w:p>
    <w:p w14:paraId="353388F6" w14:textId="36E4EBCA" w:rsidR="003C0EB0" w:rsidRPr="006110C3" w:rsidRDefault="003C0EB0">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Equidade no engajamento e protagonismo: meninas, estudantes negras ou negros e indígenas participam ativamente dos jogos, assumem diferentes papéis e têm suas estratégias reconhecidas pelos pares?</w:t>
      </w:r>
    </w:p>
    <w:p w14:paraId="438954F5" w14:textId="77777777" w:rsidR="00C736C5" w:rsidRPr="006110C3" w:rsidRDefault="00097F6D">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Qualidade das discussões matemáticas: as e os estudantes conseguem explicar suas estratégias, questionar as dos colegas e argumentar sobre suas escolhas no trabalho com os jogos em sala de aula?</w:t>
      </w:r>
    </w:p>
    <w:p w14:paraId="068D19CB" w14:textId="77777777" w:rsidR="00C736C5" w:rsidRPr="006110C3" w:rsidRDefault="00097F6D">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Ampliação do repertório de estratégias: ao longo do tempo, as e os estudantes demonstram maior diversidade e avanços nas estratégias de jogo? </w:t>
      </w:r>
    </w:p>
    <w:p w14:paraId="6E232B9A" w14:textId="77777777" w:rsidR="00C736C5" w:rsidRPr="006110C3" w:rsidRDefault="00097F6D">
      <w:pPr>
        <w:spacing w:after="6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u w:val="single"/>
        </w:rPr>
        <w:t>Em relação à equipe docente</w:t>
      </w:r>
    </w:p>
    <w:p w14:paraId="564CAF40" w14:textId="77777777" w:rsidR="00C736C5" w:rsidRPr="006110C3" w:rsidRDefault="00097F6D">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Engajamento das professoras e professores no planejamento e realização do trabalho com os jogos e organização dos torneios.</w:t>
      </w:r>
    </w:p>
    <w:p w14:paraId="56EC1146" w14:textId="77777777" w:rsidR="00C736C5" w:rsidRPr="006110C3" w:rsidRDefault="00097F6D">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Nível de interesse e aprofundamento das professoras e professores na busca pelo olhar decolonizador dos conhecimentos matemáticos e para a ciência no geral. As professoras e professores se mobilizam para novas pesquisas, estudos e trocas sobre a temática? Ampliam as reflexões sobre a relação entre o currículo e os jogos de origem africana ou indígena? </w:t>
      </w:r>
    </w:p>
    <w:p w14:paraId="395FA144" w14:textId="77777777" w:rsidR="00C736C5" w:rsidRPr="006110C3" w:rsidRDefault="00097F6D">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As professoras e professores socializam suas observações reflexões e contribuem com o registro da ação?</w:t>
      </w:r>
    </w:p>
    <w:p w14:paraId="24BA8AB1" w14:textId="77777777" w:rsidR="00C736C5" w:rsidRPr="006110C3" w:rsidRDefault="00097F6D">
      <w:pPr>
        <w:spacing w:after="6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u w:val="single"/>
        </w:rPr>
        <w:t>Em relação à gestão e à escola</w:t>
      </w:r>
    </w:p>
    <w:p w14:paraId="23676BBD" w14:textId="77777777" w:rsidR="00C736C5" w:rsidRPr="006110C3" w:rsidRDefault="00097F6D">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Regularidade dos torneios conforme o cronograma planejado.</w:t>
      </w:r>
    </w:p>
    <w:p w14:paraId="519CF76B" w14:textId="794B23FF" w:rsidR="00C736C5" w:rsidRPr="006110C3" w:rsidRDefault="00097F6D">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Participação crescente de estudantes e, progressivamente, de fam</w:t>
      </w:r>
      <w:r w:rsidR="00034129" w:rsidRPr="006110C3">
        <w:rPr>
          <w:rFonts w:ascii="Vale Sans" w:eastAsia="Times New Roman" w:hAnsi="Vale Sans" w:cs="Times New Roman"/>
          <w:sz w:val="22"/>
          <w:szCs w:val="22"/>
        </w:rPr>
        <w:t>i</w:t>
      </w:r>
      <w:r w:rsidRPr="006110C3">
        <w:rPr>
          <w:rFonts w:ascii="Vale Sans" w:eastAsia="Times New Roman" w:hAnsi="Vale Sans" w:cs="Times New Roman"/>
          <w:sz w:val="22"/>
          <w:szCs w:val="22"/>
        </w:rPr>
        <w:t>liares</w:t>
      </w:r>
      <w:r w:rsidR="00034129" w:rsidRPr="006110C3">
        <w:rPr>
          <w:rFonts w:ascii="Vale Sans" w:eastAsia="Times New Roman" w:hAnsi="Vale Sans" w:cs="Times New Roman"/>
          <w:sz w:val="22"/>
          <w:szCs w:val="22"/>
        </w:rPr>
        <w:t xml:space="preserve"> e responsáveis</w:t>
      </w:r>
      <w:r w:rsidRPr="006110C3">
        <w:rPr>
          <w:rFonts w:ascii="Vale Sans" w:eastAsia="Times New Roman" w:hAnsi="Vale Sans" w:cs="Times New Roman"/>
          <w:sz w:val="22"/>
          <w:szCs w:val="22"/>
        </w:rPr>
        <w:t>.</w:t>
      </w:r>
    </w:p>
    <w:p w14:paraId="0DCCA1D6" w14:textId="77777777" w:rsidR="00C736C5" w:rsidRPr="006110C3" w:rsidRDefault="00097F6D">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Registro sistemático dos torneios (fotos, vídeos e anotações). </w:t>
      </w:r>
    </w:p>
    <w:p w14:paraId="7E6939AC" w14:textId="77777777" w:rsidR="00C736C5" w:rsidRPr="006110C3" w:rsidRDefault="00097F6D">
      <w:pPr>
        <w:numPr>
          <w:ilvl w:val="0"/>
          <w:numId w:val="2"/>
        </w:numPr>
        <w:spacing w:after="1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Percepção da comunidade escolar sobre a ação: docentes, famílias e estudantes reconhecem o valor dos torneios?</w:t>
      </w:r>
    </w:p>
    <w:p w14:paraId="25D67EC3" w14:textId="30BE888B"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Quando a gestão escolar realiza os </w:t>
      </w:r>
      <w:r w:rsidRPr="006110C3">
        <w:rPr>
          <w:rFonts w:ascii="Vale Sans" w:eastAsia="Times New Roman" w:hAnsi="Vale Sans" w:cs="Times New Roman"/>
          <w:i/>
          <w:iCs/>
          <w:sz w:val="22"/>
          <w:szCs w:val="22"/>
        </w:rPr>
        <w:t xml:space="preserve">Torneios de Jogos Matemáticos Africanos e Indígenas </w:t>
      </w:r>
      <w:r w:rsidRPr="006110C3">
        <w:rPr>
          <w:rFonts w:ascii="Vale Sans" w:eastAsia="Times New Roman" w:hAnsi="Vale Sans" w:cs="Times New Roman"/>
          <w:sz w:val="22"/>
          <w:szCs w:val="22"/>
        </w:rPr>
        <w:t xml:space="preserve">com intencionalidade, essa ação institucional pode se consolidar como uma potente estratégia para ressignificar o lugar da matemática na escola, reconhecendo-a como uma produção humana diversa, culturalmente constituída e atravessada por diferentes modos de pensar e existir no </w:t>
      </w:r>
      <w:r w:rsidR="00034129" w:rsidRPr="006110C3">
        <w:rPr>
          <w:rFonts w:ascii="Vale Sans" w:eastAsia="Times New Roman" w:hAnsi="Vale Sans" w:cs="Times New Roman"/>
          <w:sz w:val="22"/>
          <w:szCs w:val="22"/>
        </w:rPr>
        <w:t>mundo, além</w:t>
      </w:r>
      <w:r w:rsidRPr="006110C3">
        <w:rPr>
          <w:rFonts w:ascii="Vale Sans" w:eastAsia="Times New Roman" w:hAnsi="Vale Sans" w:cs="Times New Roman"/>
          <w:sz w:val="22"/>
          <w:szCs w:val="22"/>
        </w:rPr>
        <w:t xml:space="preserve"> de favorecer o desenvolvimento de competências matemáticas das e dos estudantes. </w:t>
      </w:r>
    </w:p>
    <w:p w14:paraId="30C9BB4F" w14:textId="77777777" w:rsidR="00C736C5" w:rsidRPr="006110C3" w:rsidRDefault="00C736C5">
      <w:pPr>
        <w:spacing w:after="200" w:line="276" w:lineRule="auto"/>
        <w:jc w:val="both"/>
        <w:rPr>
          <w:rFonts w:ascii="Vale Sans" w:eastAsia="Times New Roman" w:hAnsi="Vale Sans" w:cs="Times New Roman"/>
          <w:b/>
          <w:bCs/>
          <w:sz w:val="22"/>
          <w:szCs w:val="22"/>
        </w:rPr>
      </w:pPr>
    </w:p>
    <w:p w14:paraId="46238F94" w14:textId="77777777" w:rsidR="00C736C5" w:rsidRPr="006110C3" w:rsidRDefault="00097F6D">
      <w:pPr>
        <w:spacing w:after="200" w:line="276" w:lineRule="auto"/>
        <w:jc w:val="both"/>
        <w:rPr>
          <w:rFonts w:ascii="Vale Sans" w:eastAsia="Times New Roman" w:hAnsi="Vale Sans" w:cs="Times New Roman"/>
          <w:b/>
          <w:bCs/>
          <w:sz w:val="22"/>
          <w:szCs w:val="22"/>
        </w:rPr>
      </w:pPr>
      <w:r w:rsidRPr="006110C3">
        <w:rPr>
          <w:rFonts w:ascii="Vale Sans" w:eastAsia="Times New Roman" w:hAnsi="Vale Sans" w:cs="Times New Roman"/>
          <w:b/>
          <w:bCs/>
          <w:sz w:val="22"/>
          <w:szCs w:val="22"/>
        </w:rPr>
        <w:t>Referências</w:t>
      </w:r>
    </w:p>
    <w:p w14:paraId="5D47FE59"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D’AMBRÓSIO, U. </w:t>
      </w:r>
      <w:r w:rsidRPr="006110C3">
        <w:rPr>
          <w:rFonts w:ascii="Vale Sans" w:eastAsia="Times New Roman" w:hAnsi="Vale Sans" w:cs="Times New Roman"/>
          <w:i/>
          <w:iCs/>
          <w:sz w:val="22"/>
          <w:szCs w:val="22"/>
        </w:rPr>
        <w:t>Etnomatemática: arte ou técnica de ensinar e conhecer</w:t>
      </w:r>
      <w:r w:rsidRPr="006110C3">
        <w:rPr>
          <w:rFonts w:ascii="Vale Sans" w:eastAsia="Times New Roman" w:hAnsi="Vale Sans" w:cs="Times New Roman"/>
          <w:sz w:val="22"/>
          <w:szCs w:val="22"/>
        </w:rPr>
        <w:t xml:space="preserve">. São Paulo: Editora Ática, 1998. </w:t>
      </w:r>
    </w:p>
    <w:p w14:paraId="2DF59784"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PINHEIRO, Bárbara Carine Soares; ROSA, Katemari (Orgs). </w:t>
      </w:r>
      <w:r w:rsidRPr="006110C3">
        <w:rPr>
          <w:rFonts w:ascii="Vale Sans" w:eastAsia="Times New Roman" w:hAnsi="Vale Sans" w:cs="Times New Roman"/>
          <w:i/>
          <w:iCs/>
          <w:sz w:val="22"/>
          <w:szCs w:val="22"/>
        </w:rPr>
        <w:t xml:space="preserve">Descolonizando saberes: a Lei 10.639/2003 no ensino de Ciências. </w:t>
      </w:r>
      <w:r w:rsidRPr="006110C3">
        <w:rPr>
          <w:rFonts w:ascii="Vale Sans" w:eastAsia="Times New Roman" w:hAnsi="Vale Sans" w:cs="Times New Roman"/>
          <w:sz w:val="22"/>
          <w:szCs w:val="22"/>
        </w:rPr>
        <w:t xml:space="preserve">São Paulo: Livraria da Física, 2018. </w:t>
      </w:r>
    </w:p>
    <w:p w14:paraId="41C26E1B" w14:textId="77777777" w:rsidR="00C736C5" w:rsidRPr="006110C3" w:rsidRDefault="00097F6D">
      <w:pPr>
        <w:spacing w:after="200" w:line="276" w:lineRule="auto"/>
        <w:jc w:val="both"/>
        <w:rPr>
          <w:rFonts w:ascii="Vale Sans" w:eastAsia="Times New Roman" w:hAnsi="Vale Sans" w:cs="Times New Roman"/>
          <w:sz w:val="22"/>
          <w:szCs w:val="22"/>
        </w:rPr>
      </w:pPr>
      <w:r w:rsidRPr="006110C3">
        <w:rPr>
          <w:rFonts w:ascii="Vale Sans" w:eastAsia="Times New Roman" w:hAnsi="Vale Sans" w:cs="Times New Roman"/>
          <w:sz w:val="22"/>
          <w:szCs w:val="22"/>
        </w:rPr>
        <w:t xml:space="preserve">TODÃO, Jefferson dos Santos. </w:t>
      </w:r>
      <w:r w:rsidRPr="006110C3">
        <w:rPr>
          <w:rFonts w:ascii="Vale Sans" w:eastAsia="Times New Roman" w:hAnsi="Vale Sans" w:cs="Times New Roman"/>
          <w:i/>
          <w:iCs/>
          <w:sz w:val="22"/>
          <w:szCs w:val="22"/>
        </w:rPr>
        <w:t>A Origem Africana da Matemática.</w:t>
      </w:r>
      <w:r w:rsidRPr="006110C3">
        <w:rPr>
          <w:rFonts w:ascii="Vale Sans" w:eastAsia="Times New Roman" w:hAnsi="Vale Sans" w:cs="Times New Roman"/>
          <w:sz w:val="22"/>
          <w:szCs w:val="22"/>
        </w:rPr>
        <w:t xml:space="preserve"> São Paulo: Editora Ananse, 2024.</w:t>
      </w:r>
    </w:p>
    <w:p w14:paraId="5B06E2C4" w14:textId="77777777" w:rsidR="00C736C5" w:rsidRPr="006110C3" w:rsidRDefault="00C736C5">
      <w:pPr>
        <w:spacing w:after="200" w:line="276" w:lineRule="auto"/>
        <w:jc w:val="both"/>
        <w:rPr>
          <w:rFonts w:ascii="Vale Sans" w:eastAsia="Times New Roman" w:hAnsi="Vale Sans" w:cs="Times New Roman"/>
          <w:color w:val="E97132"/>
          <w:sz w:val="22"/>
          <w:szCs w:val="22"/>
        </w:rPr>
      </w:pPr>
    </w:p>
    <w:p w14:paraId="323654B1" w14:textId="77777777" w:rsidR="00C736C5" w:rsidRPr="006110C3" w:rsidRDefault="00C736C5">
      <w:pPr>
        <w:spacing w:after="200" w:line="276" w:lineRule="auto"/>
        <w:jc w:val="both"/>
        <w:rPr>
          <w:rFonts w:ascii="Vale Sans" w:eastAsia="Times New Roman" w:hAnsi="Vale Sans" w:cs="Times New Roman"/>
          <w:color w:val="E97132"/>
          <w:sz w:val="22"/>
          <w:szCs w:val="22"/>
        </w:rPr>
      </w:pPr>
    </w:p>
    <w:sectPr w:rsidR="00C736C5" w:rsidRPr="006110C3" w:rsidSect="00092C3D">
      <w:footerReference w:type="even" r:id="rId10"/>
      <w:footerReference w:type="default" r:id="rId11"/>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08732" w14:textId="77777777" w:rsidR="0064519A" w:rsidRDefault="0064519A">
      <w:r>
        <w:separator/>
      </w:r>
    </w:p>
  </w:endnote>
  <w:endnote w:type="continuationSeparator" w:id="0">
    <w:p w14:paraId="054EAB82" w14:textId="77777777" w:rsidR="0064519A" w:rsidRDefault="00645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46B1F11-0BB8-470C-8EAA-486FA513BEC1}"/>
  </w:font>
  <w:font w:name="Tahoma">
    <w:panose1 w:val="020B0604030504040204"/>
    <w:charset w:val="00"/>
    <w:family w:val="swiss"/>
    <w:pitch w:val="variable"/>
    <w:sig w:usb0="E1002EFF" w:usb1="C000605B" w:usb2="00000029" w:usb3="00000000" w:csb0="000101FF" w:csb1="00000000"/>
    <w:embedRegular r:id="rId2" w:fontKey="{C7643E61-2F84-488C-8E20-5D460E850F58}"/>
  </w:font>
  <w:font w:name="Cambria">
    <w:panose1 w:val="02040503050406030204"/>
    <w:charset w:val="00"/>
    <w:family w:val="roman"/>
    <w:pitch w:val="variable"/>
    <w:sig w:usb0="E00006FF" w:usb1="420024FF" w:usb2="02000000" w:usb3="00000000" w:csb0="0000019F" w:csb1="00000000"/>
    <w:embedRegular r:id="rId3" w:fontKey="{6790E0B2-05F4-47EF-A17F-4083F99E4AED}"/>
    <w:embedBold r:id="rId4" w:fontKey="{6A5E7E68-7E91-4BF0-9180-25A306F744E8}"/>
  </w:font>
  <w:font w:name="Vale Sans">
    <w:panose1 w:val="020B0503020204030204"/>
    <w:charset w:val="00"/>
    <w:family w:val="swiss"/>
    <w:pitch w:val="variable"/>
    <w:sig w:usb0="00000007" w:usb1="00000001" w:usb2="00000000" w:usb3="00000000" w:csb0="00000093" w:csb1="00000000"/>
    <w:embedRegular r:id="rId5" w:fontKey="{8777F96A-A702-4964-9379-40480322D74C}"/>
    <w:embedBold r:id="rId6" w:fontKey="{EE336FB7-6F92-467A-B721-39626E1F6105}"/>
    <w:embedItalic r:id="rId7" w:fontKey="{F2BC6A98-C804-4465-A951-A3C920DD4FA6}"/>
    <w:embedBoldItalic r:id="rId8" w:fontKey="{DAEEFB8B-A83B-4061-876E-354C8D366047}"/>
  </w:font>
  <w:font w:name="Barlow">
    <w:charset w:val="00"/>
    <w:family w:val="auto"/>
    <w:pitch w:val="variable"/>
    <w:sig w:usb0="20000007" w:usb1="00000000" w:usb2="00000000" w:usb3="00000000" w:csb0="00000193" w:csb1="00000000"/>
    <w:embedRegular r:id="rId9" w:fontKey="{D142F8FB-719D-4DF8-A18E-78A0BA6611C9}"/>
    <w:embedBold r:id="rId10" w:fontKey="{CAEED7BB-5C18-4B31-B1AB-C4BE108270C1}"/>
  </w:font>
  <w:font w:name="Calibri">
    <w:panose1 w:val="020F0502020204030204"/>
    <w:charset w:val="00"/>
    <w:family w:val="swiss"/>
    <w:pitch w:val="variable"/>
    <w:sig w:usb0="E4002EFF" w:usb1="C000247B" w:usb2="00000009" w:usb3="00000000" w:csb0="000001FF" w:csb1="00000000"/>
    <w:embedRegular r:id="rId11" w:fontKey="{2D8A43CA-2434-4BA3-A385-CD197C951B9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0D297" w14:textId="77777777" w:rsidR="00C736C5" w:rsidRDefault="00092C3D">
    <w:pPr>
      <w:pBdr>
        <w:top w:val="nil"/>
        <w:left w:val="nil"/>
        <w:bottom w:val="nil"/>
        <w:right w:val="nil"/>
        <w:between w:val="nil"/>
      </w:pBdr>
      <w:tabs>
        <w:tab w:val="center" w:pos="4252"/>
        <w:tab w:val="right" w:pos="8504"/>
      </w:tabs>
      <w:jc w:val="right"/>
      <w:rPr>
        <w:color w:val="000000"/>
      </w:rPr>
    </w:pPr>
    <w:r>
      <w:rPr>
        <w:color w:val="000000"/>
      </w:rPr>
      <w:fldChar w:fldCharType="begin"/>
    </w:r>
    <w:r w:rsidR="00097F6D">
      <w:rPr>
        <w:color w:val="000000"/>
      </w:rPr>
      <w:instrText>PAGE</w:instrText>
    </w:r>
    <w:r>
      <w:rPr>
        <w:color w:val="000000"/>
      </w:rPr>
      <w:fldChar w:fldCharType="end"/>
    </w:r>
  </w:p>
  <w:p w14:paraId="0F9BD4F5" w14:textId="77777777" w:rsidR="00C736C5" w:rsidRDefault="00C736C5">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728E8" w14:textId="63026967" w:rsidR="00C736C5" w:rsidRDefault="00092C3D">
    <w:pPr>
      <w:pBdr>
        <w:top w:val="nil"/>
        <w:left w:val="nil"/>
        <w:bottom w:val="nil"/>
        <w:right w:val="nil"/>
        <w:between w:val="nil"/>
      </w:pBdr>
      <w:tabs>
        <w:tab w:val="center" w:pos="4252"/>
        <w:tab w:val="right" w:pos="8504"/>
      </w:tabs>
      <w:jc w:val="right"/>
      <w:rPr>
        <w:color w:val="000000"/>
      </w:rPr>
    </w:pPr>
    <w:r>
      <w:rPr>
        <w:color w:val="000000"/>
      </w:rPr>
      <w:fldChar w:fldCharType="begin"/>
    </w:r>
    <w:r w:rsidR="00097F6D">
      <w:rPr>
        <w:color w:val="000000"/>
      </w:rPr>
      <w:instrText>PAGE</w:instrText>
    </w:r>
    <w:r>
      <w:rPr>
        <w:color w:val="000000"/>
      </w:rPr>
      <w:fldChar w:fldCharType="separate"/>
    </w:r>
    <w:r w:rsidR="006110C3">
      <w:rPr>
        <w:noProof/>
        <w:color w:val="000000"/>
      </w:rPr>
      <w:t>9</w:t>
    </w:r>
    <w:r>
      <w:rPr>
        <w:color w:val="000000"/>
      </w:rPr>
      <w:fldChar w:fldCharType="end"/>
    </w:r>
  </w:p>
  <w:p w14:paraId="18491F14" w14:textId="77777777" w:rsidR="00C736C5" w:rsidRDefault="00C736C5">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79043" w14:textId="77777777" w:rsidR="0064519A" w:rsidRDefault="0064519A">
      <w:r>
        <w:separator/>
      </w:r>
    </w:p>
  </w:footnote>
  <w:footnote w:type="continuationSeparator" w:id="0">
    <w:p w14:paraId="57DB761D" w14:textId="77777777" w:rsidR="0064519A" w:rsidRDefault="0064519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1493D"/>
    <w:multiLevelType w:val="multilevel"/>
    <w:tmpl w:val="F6BC3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18448B"/>
    <w:multiLevelType w:val="multilevel"/>
    <w:tmpl w:val="2D1C0AC2"/>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7FD48B7"/>
    <w:multiLevelType w:val="multilevel"/>
    <w:tmpl w:val="D06A3056"/>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numFmt w:val="decimal"/>
      <w:lvlText w:val=""/>
      <w:lvlJc w:val="left"/>
      <w:pPr>
        <w:ind w:left="0" w:firstLine="0"/>
      </w:pPr>
      <w:rPr>
        <w:u w:val="none"/>
      </w:rPr>
    </w:lvl>
    <w:lvl w:ilvl="3">
      <w:numFmt w:val="decimal"/>
      <w:lvlText w:val=""/>
      <w:lvlJc w:val="left"/>
      <w:pPr>
        <w:ind w:left="0" w:firstLine="0"/>
      </w:pPr>
      <w:rPr>
        <w:u w:val="none"/>
      </w:rPr>
    </w:lvl>
    <w:lvl w:ilvl="4">
      <w:numFmt w:val="decimal"/>
      <w:lvlText w:val=""/>
      <w:lvlJc w:val="left"/>
      <w:pPr>
        <w:ind w:left="0" w:firstLine="0"/>
      </w:pPr>
      <w:rPr>
        <w:u w:val="none"/>
      </w:rPr>
    </w:lvl>
    <w:lvl w:ilvl="5">
      <w:numFmt w:val="decimal"/>
      <w:lvlText w:val=""/>
      <w:lvlJc w:val="left"/>
      <w:pPr>
        <w:ind w:left="0" w:firstLine="0"/>
      </w:pPr>
      <w:rPr>
        <w:u w:val="none"/>
      </w:rPr>
    </w:lvl>
    <w:lvl w:ilvl="6">
      <w:numFmt w:val="decimal"/>
      <w:lvlText w:val=""/>
      <w:lvlJc w:val="left"/>
      <w:pPr>
        <w:ind w:left="0" w:firstLine="0"/>
      </w:pPr>
      <w:rPr>
        <w:u w:val="none"/>
      </w:rPr>
    </w:lvl>
    <w:lvl w:ilvl="7">
      <w:numFmt w:val="decimal"/>
      <w:lvlText w:val=""/>
      <w:lvlJc w:val="left"/>
      <w:pPr>
        <w:ind w:left="0" w:firstLine="0"/>
      </w:pPr>
      <w:rPr>
        <w:u w:val="none"/>
      </w:rPr>
    </w:lvl>
    <w:lvl w:ilvl="8">
      <w:numFmt w:val="decimal"/>
      <w:lvlText w:val=""/>
      <w:lvlJc w:val="left"/>
      <w:pPr>
        <w:ind w:left="0" w:firstLine="0"/>
      </w:pPr>
      <w:rPr>
        <w:u w:val="none"/>
      </w:rPr>
    </w:lvl>
  </w:abstractNum>
  <w:abstractNum w:abstractNumId="3" w15:restartNumberingAfterBreak="0">
    <w:nsid w:val="6D9B1DDF"/>
    <w:multiLevelType w:val="hybridMultilevel"/>
    <w:tmpl w:val="51849EEA"/>
    <w:lvl w:ilvl="0" w:tplc="EE3C25DC">
      <w:start w:val="1"/>
      <w:numFmt w:val="bullet"/>
      <w:lvlText w:val="•"/>
      <w:lvlJc w:val="left"/>
      <w:pPr>
        <w:ind w:left="720" w:hanging="360"/>
      </w:pPr>
    </w:lvl>
    <w:lvl w:ilvl="1" w:tplc="D2FA6644">
      <w:start w:val="1"/>
      <w:numFmt w:val="bullet"/>
      <w:lvlText w:val="–"/>
      <w:lvlJc w:val="left"/>
      <w:pPr>
        <w:ind w:left="1080" w:hanging="360"/>
      </w:pPr>
    </w:lvl>
    <w:lvl w:ilvl="2" w:tplc="AD82034E">
      <w:numFmt w:val="decimal"/>
      <w:lvlText w:val=""/>
      <w:lvlJc w:val="left"/>
    </w:lvl>
    <w:lvl w:ilvl="3" w:tplc="3FFAD910">
      <w:numFmt w:val="decimal"/>
      <w:lvlText w:val=""/>
      <w:lvlJc w:val="left"/>
    </w:lvl>
    <w:lvl w:ilvl="4" w:tplc="F0AA5DBC">
      <w:numFmt w:val="decimal"/>
      <w:lvlText w:val=""/>
      <w:lvlJc w:val="left"/>
    </w:lvl>
    <w:lvl w:ilvl="5" w:tplc="47A4CD8A">
      <w:numFmt w:val="decimal"/>
      <w:lvlText w:val=""/>
      <w:lvlJc w:val="left"/>
    </w:lvl>
    <w:lvl w:ilvl="6" w:tplc="C59CA234">
      <w:numFmt w:val="decimal"/>
      <w:lvlText w:val=""/>
      <w:lvlJc w:val="left"/>
    </w:lvl>
    <w:lvl w:ilvl="7" w:tplc="193A4A0E">
      <w:numFmt w:val="decimal"/>
      <w:lvlText w:val=""/>
      <w:lvlJc w:val="left"/>
    </w:lvl>
    <w:lvl w:ilvl="8" w:tplc="5DD899DC">
      <w:numFmt w:val="decimal"/>
      <w:lvlText w:val=""/>
      <w:lvlJc w:val="left"/>
    </w:lvl>
  </w:abstractNum>
  <w:abstractNum w:abstractNumId="4" w15:restartNumberingAfterBreak="0">
    <w:nsid w:val="72FB498B"/>
    <w:multiLevelType w:val="multilevel"/>
    <w:tmpl w:val="21262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4"/>
  </w:num>
  <w:num w:numId="4">
    <w:abstractNumId w:val="0"/>
  </w:num>
  <w:num w:numId="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6C5"/>
    <w:rsid w:val="00034129"/>
    <w:rsid w:val="0004554E"/>
    <w:rsid w:val="0005386D"/>
    <w:rsid w:val="0005717D"/>
    <w:rsid w:val="00063E3C"/>
    <w:rsid w:val="00072674"/>
    <w:rsid w:val="00076475"/>
    <w:rsid w:val="00092C3D"/>
    <w:rsid w:val="00097F6D"/>
    <w:rsid w:val="000F7B36"/>
    <w:rsid w:val="00132BC4"/>
    <w:rsid w:val="001474BE"/>
    <w:rsid w:val="00182975"/>
    <w:rsid w:val="00182FB7"/>
    <w:rsid w:val="00192077"/>
    <w:rsid w:val="001C2ED3"/>
    <w:rsid w:val="002E2BF9"/>
    <w:rsid w:val="002F62B8"/>
    <w:rsid w:val="00347CA5"/>
    <w:rsid w:val="003C0EB0"/>
    <w:rsid w:val="003D6829"/>
    <w:rsid w:val="00406F2E"/>
    <w:rsid w:val="004450ED"/>
    <w:rsid w:val="004677E5"/>
    <w:rsid w:val="004E4EA7"/>
    <w:rsid w:val="00503851"/>
    <w:rsid w:val="00506303"/>
    <w:rsid w:val="005D3312"/>
    <w:rsid w:val="005E6971"/>
    <w:rsid w:val="005F7863"/>
    <w:rsid w:val="006110C3"/>
    <w:rsid w:val="00616476"/>
    <w:rsid w:val="0064002B"/>
    <w:rsid w:val="0064519A"/>
    <w:rsid w:val="006529C8"/>
    <w:rsid w:val="006E5653"/>
    <w:rsid w:val="006F56CD"/>
    <w:rsid w:val="00702772"/>
    <w:rsid w:val="00707972"/>
    <w:rsid w:val="00741D89"/>
    <w:rsid w:val="00785503"/>
    <w:rsid w:val="007F2CEC"/>
    <w:rsid w:val="008220E3"/>
    <w:rsid w:val="008D2A60"/>
    <w:rsid w:val="00A103D0"/>
    <w:rsid w:val="00AA6521"/>
    <w:rsid w:val="00AC5B52"/>
    <w:rsid w:val="00AE56F4"/>
    <w:rsid w:val="00B27946"/>
    <w:rsid w:val="00B63EF1"/>
    <w:rsid w:val="00BD0A26"/>
    <w:rsid w:val="00C30BDB"/>
    <w:rsid w:val="00C46661"/>
    <w:rsid w:val="00C56A59"/>
    <w:rsid w:val="00C736C5"/>
    <w:rsid w:val="00C82C21"/>
    <w:rsid w:val="00CD107D"/>
    <w:rsid w:val="00D321CD"/>
    <w:rsid w:val="00D35370"/>
    <w:rsid w:val="00D53239"/>
    <w:rsid w:val="00D662FA"/>
    <w:rsid w:val="00E02E0D"/>
    <w:rsid w:val="00E14C23"/>
    <w:rsid w:val="00E416DB"/>
    <w:rsid w:val="00E87B4D"/>
    <w:rsid w:val="00F743A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3D279"/>
  <w15:docId w15:val="{0C5A944F-DE8E-4298-B496-FB623E82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C3D"/>
  </w:style>
  <w:style w:type="paragraph" w:styleId="Ttulo1">
    <w:name w:val="heading 1"/>
    <w:basedOn w:val="Normal"/>
    <w:next w:val="Normal"/>
    <w:uiPriority w:val="9"/>
    <w:qFormat/>
    <w:rsid w:val="00092C3D"/>
    <w:pPr>
      <w:pBdr>
        <w:top w:val="nil"/>
        <w:left w:val="nil"/>
        <w:bottom w:val="nil"/>
        <w:right w:val="nil"/>
        <w:between w:val="nil"/>
      </w:pBdr>
      <w:spacing w:after="200"/>
      <w:outlineLvl w:val="0"/>
    </w:pPr>
    <w:rPr>
      <w:b/>
      <w:bCs/>
      <w:color w:val="000000"/>
      <w:sz w:val="36"/>
      <w:szCs w:val="36"/>
    </w:rPr>
  </w:style>
  <w:style w:type="paragraph" w:styleId="Ttulo2">
    <w:name w:val="heading 2"/>
    <w:basedOn w:val="Normal"/>
    <w:next w:val="Normal"/>
    <w:uiPriority w:val="9"/>
    <w:unhideWhenUsed/>
    <w:qFormat/>
    <w:rsid w:val="00092C3D"/>
    <w:pPr>
      <w:pBdr>
        <w:top w:val="nil"/>
        <w:left w:val="nil"/>
        <w:bottom w:val="nil"/>
        <w:right w:val="nil"/>
        <w:between w:val="nil"/>
      </w:pBdr>
      <w:spacing w:before="360" w:after="120"/>
      <w:outlineLvl w:val="1"/>
    </w:pPr>
    <w:rPr>
      <w:b/>
      <w:bCs/>
      <w:color w:val="000000"/>
      <w:sz w:val="28"/>
      <w:szCs w:val="28"/>
    </w:rPr>
  </w:style>
  <w:style w:type="paragraph" w:styleId="Ttulo3">
    <w:name w:val="heading 3"/>
    <w:basedOn w:val="Normal"/>
    <w:next w:val="Normal"/>
    <w:uiPriority w:val="9"/>
    <w:semiHidden/>
    <w:unhideWhenUsed/>
    <w:qFormat/>
    <w:rsid w:val="00092C3D"/>
    <w:pPr>
      <w:pBdr>
        <w:top w:val="nil"/>
        <w:left w:val="nil"/>
        <w:bottom w:val="nil"/>
        <w:right w:val="nil"/>
        <w:between w:val="nil"/>
      </w:pBdr>
      <w:outlineLvl w:val="2"/>
    </w:pPr>
    <w:rPr>
      <w:color w:val="1F4D78"/>
    </w:rPr>
  </w:style>
  <w:style w:type="paragraph" w:styleId="Ttulo4">
    <w:name w:val="heading 4"/>
    <w:basedOn w:val="Normal"/>
    <w:next w:val="Normal"/>
    <w:uiPriority w:val="9"/>
    <w:semiHidden/>
    <w:unhideWhenUsed/>
    <w:qFormat/>
    <w:rsid w:val="00092C3D"/>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rsid w:val="00092C3D"/>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rsid w:val="00092C3D"/>
    <w:pPr>
      <w:pBdr>
        <w:top w:val="nil"/>
        <w:left w:val="nil"/>
        <w:bottom w:val="nil"/>
        <w:right w:val="nil"/>
        <w:between w:val="nil"/>
      </w:pBdr>
      <w:outlineLvl w:val="5"/>
    </w:pPr>
    <w:rPr>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092C3D"/>
    <w:tblPr>
      <w:tblCellMar>
        <w:top w:w="100" w:type="dxa"/>
        <w:left w:w="100" w:type="dxa"/>
        <w:bottom w:w="100" w:type="dxa"/>
        <w:right w:w="100" w:type="dxa"/>
      </w:tblCellMar>
    </w:tblPr>
  </w:style>
  <w:style w:type="paragraph" w:styleId="Ttulo">
    <w:name w:val="Title"/>
    <w:basedOn w:val="Normal"/>
    <w:next w:val="Normal"/>
    <w:uiPriority w:val="10"/>
    <w:qFormat/>
    <w:rsid w:val="00092C3D"/>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rsid w:val="00092C3D"/>
    <w:pPr>
      <w:keepNext/>
      <w:keepLines/>
      <w:spacing w:before="360" w:after="80"/>
    </w:pPr>
    <w:rPr>
      <w:rFonts w:ascii="Georgia" w:eastAsia="Georgia" w:hAnsi="Georgia" w:cs="Georgia"/>
      <w:i/>
      <w:iCs/>
      <w:color w:val="666666"/>
      <w:sz w:val="48"/>
      <w:szCs w:val="48"/>
    </w:rPr>
  </w:style>
  <w:style w:type="table" w:customStyle="1" w:styleId="1">
    <w:name w:val="1"/>
    <w:basedOn w:val="TableNormal"/>
    <w:rsid w:val="00092C3D"/>
    <w:tblPr>
      <w:tblStyleRowBandSize w:val="1"/>
      <w:tblStyleColBandSize w:val="1"/>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5D3312"/>
    <w:rPr>
      <w:sz w:val="16"/>
      <w:szCs w:val="16"/>
    </w:rPr>
  </w:style>
  <w:style w:type="paragraph" w:styleId="Textodecomentrio">
    <w:name w:val="annotation text"/>
    <w:basedOn w:val="Normal"/>
    <w:link w:val="TextodecomentrioChar"/>
    <w:uiPriority w:val="99"/>
    <w:unhideWhenUsed/>
    <w:rsid w:val="005D3312"/>
    <w:rPr>
      <w:sz w:val="20"/>
      <w:szCs w:val="20"/>
    </w:rPr>
  </w:style>
  <w:style w:type="character" w:customStyle="1" w:styleId="TextodecomentrioChar">
    <w:name w:val="Texto de comentário Char"/>
    <w:basedOn w:val="Fontepargpadro"/>
    <w:link w:val="Textodecomentrio"/>
    <w:uiPriority w:val="99"/>
    <w:rsid w:val="005D3312"/>
    <w:rPr>
      <w:sz w:val="20"/>
      <w:szCs w:val="20"/>
    </w:rPr>
  </w:style>
  <w:style w:type="paragraph" w:styleId="Assuntodocomentrio">
    <w:name w:val="annotation subject"/>
    <w:basedOn w:val="Textodecomentrio"/>
    <w:next w:val="Textodecomentrio"/>
    <w:link w:val="AssuntodocomentrioChar"/>
    <w:uiPriority w:val="99"/>
    <w:semiHidden/>
    <w:unhideWhenUsed/>
    <w:rsid w:val="005D3312"/>
    <w:rPr>
      <w:b/>
      <w:bCs/>
    </w:rPr>
  </w:style>
  <w:style w:type="character" w:customStyle="1" w:styleId="AssuntodocomentrioChar">
    <w:name w:val="Assunto do comentário Char"/>
    <w:basedOn w:val="TextodecomentrioChar"/>
    <w:link w:val="Assuntodocomentrio"/>
    <w:uiPriority w:val="99"/>
    <w:semiHidden/>
    <w:rsid w:val="005D3312"/>
    <w:rPr>
      <w:b/>
      <w:bCs/>
      <w:sz w:val="20"/>
      <w:szCs w:val="20"/>
    </w:rPr>
  </w:style>
  <w:style w:type="paragraph" w:styleId="Textodebalo">
    <w:name w:val="Balloon Text"/>
    <w:basedOn w:val="Normal"/>
    <w:link w:val="TextodebaloChar"/>
    <w:uiPriority w:val="99"/>
    <w:semiHidden/>
    <w:unhideWhenUsed/>
    <w:rsid w:val="00C46661"/>
    <w:rPr>
      <w:rFonts w:ascii="Tahoma" w:hAnsi="Tahoma" w:cs="Tahoma"/>
      <w:sz w:val="16"/>
      <w:szCs w:val="16"/>
    </w:rPr>
  </w:style>
  <w:style w:type="character" w:customStyle="1" w:styleId="TextodebaloChar">
    <w:name w:val="Texto de balão Char"/>
    <w:basedOn w:val="Fontepargpadro"/>
    <w:link w:val="Textodebalo"/>
    <w:uiPriority w:val="99"/>
    <w:semiHidden/>
    <w:rsid w:val="00C46661"/>
    <w:rPr>
      <w:rFonts w:ascii="Tahoma" w:hAnsi="Tahoma" w:cs="Tahoma"/>
      <w:sz w:val="16"/>
      <w:szCs w:val="16"/>
    </w:rPr>
  </w:style>
  <w:style w:type="paragraph" w:styleId="Reviso">
    <w:name w:val="Revision"/>
    <w:hidden/>
    <w:uiPriority w:val="99"/>
    <w:semiHidden/>
    <w:rsid w:val="00406F2E"/>
  </w:style>
  <w:style w:type="table" w:styleId="Tabelacomgrade">
    <w:name w:val="Table Grid"/>
    <w:basedOn w:val="Tabelanormal"/>
    <w:uiPriority w:val="39"/>
    <w:rsid w:val="00C82C2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qFormat/>
    <w:rsid w:val="00132BC4"/>
    <w:pPr>
      <w:spacing w:after="160" w:line="278" w:lineRule="auto"/>
      <w:ind w:left="720"/>
      <w:contextualSpacing/>
    </w:pPr>
    <w:rPr>
      <w:rFonts w:asciiTheme="minorHAnsi" w:eastAsiaTheme="minorHAnsi" w:hAnsiTheme="minorHAnsi" w:cstheme="minorBidi"/>
      <w:kern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oTjhcCC7t3jqKOogJcLI0TeOg==">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3760</Words>
  <Characters>20310</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Elisa Zambon</dc:creator>
  <cp:lastModifiedBy>Maria Paula Twiaschor</cp:lastModifiedBy>
  <cp:revision>3</cp:revision>
  <dcterms:created xsi:type="dcterms:W3CDTF">2026-04-29T16:55:00Z</dcterms:created>
  <dcterms:modified xsi:type="dcterms:W3CDTF">2026-04-29T18:10:00Z</dcterms:modified>
</cp:coreProperties>
</file>