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Montserrat" w:cs="Montserrat" w:eastAsia="Montserrat" w:hAnsi="Montserrat"/>
          <w:b w:val="1"/>
          <w:color w:val="434343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highlight w:val="white"/>
          <w:rtl w:val="0"/>
        </w:rPr>
        <w:t xml:space="preserve">Programa Trilhos da Alfabetização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Montserrat" w:cs="Montserrat" w:eastAsia="Montserrat" w:hAnsi="Montserrat"/>
          <w:b w:val="1"/>
          <w:color w:val="434343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highlight w:val="white"/>
          <w:rtl w:val="0"/>
        </w:rPr>
        <w:t xml:space="preserve">Didática da Matemática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Montserrat" w:cs="Montserrat" w:eastAsia="Montserrat" w:hAnsi="Montserrat"/>
          <w:b w:val="1"/>
          <w:color w:val="434343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highlight w:val="white"/>
          <w:rtl w:val="0"/>
        </w:rPr>
        <w:t xml:space="preserve"> Ciclo 1 | 2025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jc w:val="center"/>
        <w:rPr>
          <w:rFonts w:ascii="Vale Sans" w:cs="Vale Sans" w:eastAsia="Vale Sans" w:hAnsi="Vale Sans"/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sz w:val="24"/>
          <w:szCs w:val="24"/>
          <w:rtl w:val="0"/>
        </w:rPr>
        <w:t xml:space="preserve">Instrumento de acompanhamento do uso dos jogos - Trilhos da Alfabetização</w:t>
      </w: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line="480" w:lineRule="auto"/>
        <w:rPr>
          <w:rFonts w:ascii="Montserrat" w:cs="Montserrat" w:eastAsia="Montserrat" w:hAnsi="Montserrat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48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Nome da escola:______________________________________________________________________________________________________________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after="0" w:line="48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Nome do articulador ou articuladora pedagógica: _____________________________________________________________________________</w:t>
      </w:r>
      <w:r w:rsidDel="00000000" w:rsidR="00000000" w:rsidRPr="00000000">
        <w:rPr>
          <w:rtl w:val="0"/>
        </w:rPr>
      </w:r>
    </w:p>
    <w:tbl>
      <w:tblPr>
        <w:tblStyle w:val="Table1"/>
        <w:tblW w:w="153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0"/>
        <w:gridCol w:w="6780"/>
        <w:gridCol w:w="7350"/>
        <w:tblGridChange w:id="0">
          <w:tblGrid>
            <w:gridCol w:w="1260"/>
            <w:gridCol w:w="6780"/>
            <w:gridCol w:w="735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Já fez uso dos jogos ou está previsto no planejamento do 1º ou 2º bimestres? Se sim, qual(ais)?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TURMA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1º BIMESTRE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2º BIMESTRE</w:t>
            </w:r>
          </w:p>
        </w:tc>
      </w:tr>
      <w:tr>
        <w:trPr>
          <w:cantSplit w:val="0"/>
          <w:trHeight w:val="1014.5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1º ano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4.5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2º 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4.5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3º 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4.5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4º ano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4.5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5º 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0" w:firstLine="0"/>
        <w:jc w:val="both"/>
        <w:rPr>
          <w:rFonts w:ascii="Vale Sans" w:cs="Vale Sans" w:eastAsia="Vale Sans" w:hAnsi="Vale Sans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 w:orient="landscape"/>
      <w:pgMar w:bottom="720.0000000000001" w:top="1184.8818897637796" w:left="720.0000000000001" w:right="720.0000000000001" w:header="510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Vale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7334250</wp:posOffset>
          </wp:positionH>
          <wp:positionV relativeFrom="paragraph">
            <wp:posOffset>-104774</wp:posOffset>
          </wp:positionV>
          <wp:extent cx="895350" cy="290513"/>
          <wp:effectExtent b="0" l="0" r="0" t="0"/>
          <wp:wrapSquare wrapText="bothSides" distB="0" distT="0" distL="0" distR="0"/>
          <wp:docPr descr="Texto, Logotipo&#10;&#10;Descrição gerada automaticamente" id="1" name="image2.png"/>
          <a:graphic>
            <a:graphicData uri="http://schemas.openxmlformats.org/drawingml/2006/picture">
              <pic:pic>
                <pic:nvPicPr>
                  <pic:cNvPr descr="Texto, Logotipo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5350" cy="2905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9334500</wp:posOffset>
          </wp:positionH>
          <wp:positionV relativeFrom="paragraph">
            <wp:posOffset>-180974</wp:posOffset>
          </wp:positionV>
          <wp:extent cx="373380" cy="445770"/>
          <wp:effectExtent b="0" l="0" r="0" t="0"/>
          <wp:wrapNone/>
          <wp:docPr descr="Uma imagem contendo objeto, relógio, medidor&#10;&#10;Descrição gerada automaticamente" id="3" name="image1.png"/>
          <a:graphic>
            <a:graphicData uri="http://schemas.openxmlformats.org/drawingml/2006/picture">
              <pic:pic>
                <pic:nvPicPr>
                  <pic:cNvPr descr="Uma imagem contendo objeto, relógio, medidor&#10;&#10;Descrição gerada automaticamente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3380" cy="4457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8229600</wp:posOffset>
          </wp:positionH>
          <wp:positionV relativeFrom="paragraph">
            <wp:posOffset>-223837</wp:posOffset>
          </wp:positionV>
          <wp:extent cx="942975" cy="534670"/>
          <wp:effectExtent b="0" l="0" r="0" t="0"/>
          <wp:wrapNone/>
          <wp:docPr descr="Logotipo&#10;&#10;Descrição gerada automaticamente" id="2" name="image3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2975" cy="5346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