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both"/>
        <w:rPr>
          <w:rFonts w:ascii="Barlow" w:cs="Barlow" w:eastAsia="Barlow" w:hAnsi="Barlow"/>
          <w:b w:val="1"/>
          <w:color w:val="575756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575756"/>
          <w:sz w:val="24"/>
          <w:szCs w:val="24"/>
          <w:rtl w:val="0"/>
        </w:rPr>
        <w:t xml:space="preserve">Curso - Como aprimorar o diálogo entre a escola e familiares/responsáveis?</w:t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Barlow" w:cs="Barlow" w:eastAsia="Barlow" w:hAnsi="Barlow"/>
          <w:b w:val="1"/>
          <w:color w:val="57575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Barlow" w:cs="Barlow" w:eastAsia="Barlow" w:hAnsi="Barlow"/>
          <w:b w:val="1"/>
          <w:color w:val="575756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575756"/>
          <w:sz w:val="24"/>
          <w:szCs w:val="24"/>
          <w:rtl w:val="0"/>
        </w:rPr>
        <w:t xml:space="preserve">Módulo 4 – Como aprimorar as reuniões coletivas e individuais com familiares e responsáveis?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87630</wp:posOffset>
            </wp:positionV>
            <wp:extent cx="471835" cy="471835"/>
            <wp:effectExtent b="0" l="0" r="0" t="0"/>
            <wp:wrapSquare wrapText="bothSides" distB="0" distT="0" distL="114300" distR="114300"/>
            <wp:docPr descr="Desenho com traços pretos em fundo branco&#10;&#10;Descrição gerada automaticamente com confiança baixa" id="1290096557" name="image2.png"/>
            <a:graphic>
              <a:graphicData uri="http://schemas.openxmlformats.org/drawingml/2006/picture">
                <pic:pic>
                  <pic:nvPicPr>
                    <pic:cNvPr descr="Desenho com traços pretos em fundo branco&#10;&#10;Descrição gerada automaticamente com confiança baix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835" cy="4718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Barlow" w:cs="Barlow" w:eastAsia="Barlow" w:hAnsi="Barlow"/>
          <w:b w:val="1"/>
          <w:color w:val="575756"/>
          <w:sz w:val="24"/>
          <w:szCs w:val="24"/>
        </w:rPr>
      </w:pPr>
      <w:r w:rsidDel="00000000" w:rsidR="00000000" w:rsidRPr="00000000">
        <w:rPr>
          <w:rFonts w:ascii="Barlow" w:cs="Barlow" w:eastAsia="Barlow" w:hAnsi="Barlow"/>
          <w:b w:val="1"/>
          <w:color w:val="575756"/>
          <w:sz w:val="24"/>
          <w:szCs w:val="24"/>
          <w:rtl w:val="0"/>
        </w:rPr>
        <w:t xml:space="preserve">TransformAção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Barlow" w:cs="Barlow" w:eastAsia="Barlow" w:hAnsi="Barl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Layout w:type="fixed"/>
        <w:tblLook w:val="0400"/>
      </w:tblPr>
      <w:tblGrid>
        <w:gridCol w:w="3300"/>
        <w:gridCol w:w="3765"/>
        <w:gridCol w:w="2715"/>
        <w:gridCol w:w="1890"/>
        <w:gridCol w:w="2325"/>
        <w:tblGridChange w:id="0">
          <w:tblGrid>
            <w:gridCol w:w="3300"/>
            <w:gridCol w:w="3765"/>
            <w:gridCol w:w="2715"/>
            <w:gridCol w:w="1890"/>
            <w:gridCol w:w="2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0134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Barlow" w:cs="Barlow" w:eastAsia="Barlow" w:hAnsi="Barlow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4"/>
                <w:szCs w:val="24"/>
                <w:rtl w:val="0"/>
              </w:rPr>
              <w:t xml:space="preserve">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0134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arlow" w:cs="Barlow" w:eastAsia="Barlow" w:hAnsi="Barlow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4"/>
                <w:szCs w:val="24"/>
                <w:rtl w:val="0"/>
              </w:rPr>
              <w:t xml:space="preserve">Público-alvo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0134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Barlow" w:cs="Barlow" w:eastAsia="Barlow" w:hAnsi="Barlow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4"/>
                <w:szCs w:val="24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0134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arlow" w:cs="Barlow" w:eastAsia="Barlow" w:hAnsi="Barlow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4"/>
                <w:szCs w:val="24"/>
                <w:rtl w:val="0"/>
              </w:rPr>
              <w:t xml:space="preserve">Prazo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40134" w:val="clear"/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arlow" w:cs="Barlow" w:eastAsia="Barlow" w:hAnsi="Barlow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ffffff"/>
                <w:sz w:val="24"/>
                <w:szCs w:val="24"/>
                <w:rtl w:val="0"/>
              </w:rPr>
              <w:t xml:space="preserve">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Estudo dos materiais do </w:t>
            </w:r>
            <w:hyperlink r:id="rId8">
              <w:r w:rsidDel="00000000" w:rsidR="00000000" w:rsidRPr="00000000">
                <w:rPr>
                  <w:rFonts w:ascii="Barlow" w:cs="Barlow" w:eastAsia="Barlow" w:hAnsi="Barlow"/>
                  <w:color w:val="0563c1"/>
                  <w:u w:val="single"/>
                  <w:rtl w:val="0"/>
                </w:rPr>
                <w:t xml:space="preserve">Indique com foco no Ensino Fundamental</w:t>
              </w:r>
            </w:hyperlink>
            <w:r w:rsidDel="00000000" w:rsidR="00000000" w:rsidRPr="00000000">
              <w:rPr>
                <w:rFonts w:ascii="Barlow" w:cs="Barlow" w:eastAsia="Barlow" w:hAnsi="Barlow"/>
                <w:u w:val="singl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gestora e equipe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Refletir sobre a aplicação do material na escola.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De fevereiro a março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Um responsável por organizar os momentos de estudos da equipe gestora ou docente.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Definição dos mediadores e relatores.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gestora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Organizar a 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Março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Coordenadora/or da aplicação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Aplicação do Indique para diagnóstico de participação.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Toda a comunidade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Compreender a visão que a comunidade tem em relação à escola.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Abril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gestora (coordena a aplicação, com apoio de professoras/es e, se possível, da gestão educacional do município).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Tabulação e análise dos resultados.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gestora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Organizar os resultados para que possam ser analisados.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Coordenadora/or da aplicação.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Apresentação dos dados das avaliações do Indique.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Comunidade escolar: gestoras/es, professoras/es, familiares/responsáveis, estudantes, funcionárias/os, vizinhos da escola e representantes da comunidade e de movimentos sociais locais. Se possível, outros equipamentos do entorno escolar, como UBS, bibliotecas, clubes, comércio.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Compartilhar os resultados da avaliação institucional a fim de pensarem em melhorias de forma coletiva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Maio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gestora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Elaboração do plano de ação com a comunidade escolar a partir dos dados da avaliação institucional.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Comunidade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Mobilizar a comunidade escolar para a ação com base nos achados do diagnóstico participativo.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Junho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gestora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Elaboração de pautas de reuniões de familiares/responsáveis – apoio à equipe escolar para implementação das ações do plano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escolar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Promover encontros de discussão entre a equipe a fim de que planejem reuniões de familiares/responsáveis com intencionalidade.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Junho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gestora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Planejar ações de comunicação mais efetiva com familiares/responsáveis para mobilização e participação em todas as etapas da avaliação institucional, incluindo a implementação de suas ações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A partir do conhecimento que cada docente tem sobre familiares/responsáveis de suas/seus estudantes, pensar na ampliação de instâncias de diálogo e comunicação a fim de incluírem a participação delas/es em decisões da escola.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Julho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Barlow" w:cs="Barlow" w:eastAsia="Barlow" w:hAnsi="Barlow"/>
              </w:rPr>
            </w:pPr>
            <w:r w:rsidDel="00000000" w:rsidR="00000000" w:rsidRPr="00000000">
              <w:rPr>
                <w:rFonts w:ascii="Barlow" w:cs="Barlow" w:eastAsia="Barlow" w:hAnsi="Barlow"/>
                <w:rtl w:val="0"/>
              </w:rPr>
              <w:t xml:space="preserve">Equipe gestora e equipe docente.</w:t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947420</wp:posOffset>
          </wp:positionH>
          <wp:positionV relativeFrom="page">
            <wp:posOffset>-199037</wp:posOffset>
          </wp:positionV>
          <wp:extent cx="1859280" cy="1112520"/>
          <wp:effectExtent b="0" l="0" r="0" t="0"/>
          <wp:wrapSquare wrapText="bothSides" distB="0" distT="0" distL="114300" distR="114300"/>
          <wp:docPr descr="Logotipo&#10;&#10;Descrição gerada automaticamente" id="1290096556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9280" cy="11125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 xml:space="preserve">rodaeducativa.org.br  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E603C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E603C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603CE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E603C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E603CE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E603C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E603C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E603C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E603C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E603CE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E603C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603CE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E603CE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E603CE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E603CE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E603CE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E603CE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E603CE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E603C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E603C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E603C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603C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E603C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E603CE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E603CE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E603CE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E603CE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E603CE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E603CE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Fontepargpadro"/>
    <w:uiPriority w:val="99"/>
    <w:unhideWhenUsed w:val="1"/>
    <w:rsid w:val="00E603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603CE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CA56F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A56F8"/>
  </w:style>
  <w:style w:type="paragraph" w:styleId="Rodap">
    <w:name w:val="footer"/>
    <w:basedOn w:val="Normal"/>
    <w:link w:val="RodapChar"/>
    <w:uiPriority w:val="99"/>
    <w:unhideWhenUsed w:val="1"/>
    <w:rsid w:val="00CA56F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A56F8"/>
  </w:style>
  <w:style w:type="paragraph" w:styleId="NormalWeb">
    <w:name w:val="Normal (Web)"/>
    <w:basedOn w:val="Normal"/>
    <w:uiPriority w:val="99"/>
    <w:semiHidden w:val="1"/>
    <w:unhideWhenUsed w:val="1"/>
    <w:rsid w:val="00CA56F8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www.indicadoreseducacao.org.br/wp-content/uploads/2013/07/INDIQUE_ENSINO_FUNDAMENTAL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FzHYAP4EsvLXmhSlOQnU7Yw4AQ==">CgMxLjA4AHIhMTJ6MTZERU1SYWxVR1ZTUG1kLV9iLU1Ua00zYXM4amFz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2025-01-17T14:18:00Z</dcterms:created>
  <dc:creator>Marcia Toscano da Silva</dc:creator>
</cp:coreProperties>
</file>